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F570" w14:textId="640ED400" w:rsidR="006D76DA" w:rsidRPr="001663C4" w:rsidRDefault="004D1C3F">
      <w:pPr>
        <w:rPr>
          <w:rFonts w:asciiTheme="minorHAnsi" w:hAnsiTheme="minorHAnsi" w:cstheme="minorHAnsi"/>
          <w:b w:val="0"/>
          <w:bCs/>
          <w:color w:val="000000" w:themeColor="text1"/>
          <w:sz w:val="24"/>
          <w:szCs w:val="24"/>
          <w:lang w:val="en-GB"/>
        </w:rPr>
      </w:pPr>
      <w:r>
        <w:rPr>
          <w:rFonts w:asciiTheme="minorHAnsi" w:hAnsiTheme="minorHAnsi" w:cstheme="minorHAnsi"/>
          <w:b w:val="0"/>
          <w:bCs/>
          <w:color w:val="000000" w:themeColor="text1"/>
          <w:sz w:val="24"/>
          <w:szCs w:val="24"/>
          <w:lang w:val="en-GB"/>
        </w:rPr>
        <w:t>C</w:t>
      </w:r>
      <w:r w:rsidR="003F6A5C" w:rsidRPr="001663C4">
        <w:rPr>
          <w:rFonts w:asciiTheme="minorHAnsi" w:hAnsiTheme="minorHAnsi" w:cstheme="minorHAnsi"/>
          <w:b w:val="0"/>
          <w:bCs/>
          <w:color w:val="000000" w:themeColor="text1"/>
          <w:sz w:val="24"/>
          <w:szCs w:val="24"/>
          <w:lang w:val="en-GB"/>
        </w:rPr>
        <w:t xml:space="preserve">onflicts of interest: </w:t>
      </w:r>
    </w:p>
    <w:p w14:paraId="0119645C" w14:textId="1910003E" w:rsidR="003D496A" w:rsidRPr="001663C4" w:rsidRDefault="006D76DA">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N</w:t>
      </w:r>
      <w:r w:rsidR="003F6A5C" w:rsidRPr="001663C4">
        <w:rPr>
          <w:rFonts w:asciiTheme="minorHAnsi" w:hAnsiTheme="minorHAnsi" w:cstheme="minorHAnsi"/>
          <w:b w:val="0"/>
          <w:bCs/>
          <w:color w:val="000000" w:themeColor="text1"/>
          <w:sz w:val="24"/>
          <w:szCs w:val="24"/>
          <w:lang w:val="en-GB"/>
        </w:rPr>
        <w:t>one</w:t>
      </w:r>
    </w:p>
    <w:p w14:paraId="111B0B8F" w14:textId="77777777" w:rsidR="003F6A5C" w:rsidRPr="001663C4" w:rsidRDefault="003F6A5C">
      <w:pPr>
        <w:rPr>
          <w:rFonts w:asciiTheme="minorHAnsi" w:hAnsiTheme="minorHAnsi" w:cstheme="minorHAnsi"/>
          <w:b w:val="0"/>
          <w:bCs/>
          <w:color w:val="000000" w:themeColor="text1"/>
          <w:sz w:val="24"/>
          <w:szCs w:val="24"/>
          <w:lang w:val="en-GB"/>
        </w:rPr>
      </w:pPr>
    </w:p>
    <w:p w14:paraId="0ECA683A" w14:textId="77777777" w:rsidR="006D76DA" w:rsidRPr="001663C4" w:rsidRDefault="003D496A">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Acknowledgements</w:t>
      </w:r>
      <w:r w:rsidR="00EE3580" w:rsidRPr="001663C4">
        <w:rPr>
          <w:rFonts w:asciiTheme="minorHAnsi" w:hAnsiTheme="minorHAnsi" w:cstheme="minorHAnsi"/>
          <w:b w:val="0"/>
          <w:bCs/>
          <w:color w:val="000000" w:themeColor="text1"/>
          <w:sz w:val="24"/>
          <w:szCs w:val="24"/>
          <w:lang w:val="en-GB"/>
        </w:rPr>
        <w:t xml:space="preserve">: </w:t>
      </w:r>
    </w:p>
    <w:p w14:paraId="4E02F1EC" w14:textId="57CB2068" w:rsidR="00EE3580" w:rsidRPr="001663C4" w:rsidRDefault="006D76DA">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None.</w:t>
      </w:r>
    </w:p>
    <w:p w14:paraId="26A70BA7" w14:textId="77777777" w:rsidR="006D76DA" w:rsidRPr="001663C4" w:rsidRDefault="006D76DA">
      <w:pPr>
        <w:rPr>
          <w:rFonts w:asciiTheme="minorHAnsi" w:hAnsiTheme="minorHAnsi" w:cstheme="minorHAnsi"/>
          <w:b w:val="0"/>
          <w:bCs/>
          <w:color w:val="000000" w:themeColor="text1"/>
          <w:sz w:val="24"/>
          <w:szCs w:val="24"/>
          <w:lang w:val="en-GB"/>
        </w:rPr>
      </w:pPr>
    </w:p>
    <w:p w14:paraId="361BEACF" w14:textId="77777777" w:rsidR="006D76DA" w:rsidRPr="001663C4" w:rsidRDefault="003D496A">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Funding details: </w:t>
      </w:r>
    </w:p>
    <w:p w14:paraId="0E6B384D" w14:textId="15E2D29C" w:rsidR="003D496A" w:rsidRPr="001663C4" w:rsidRDefault="003D496A">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Data collection and analys</w:t>
      </w:r>
      <w:r w:rsidR="006D76DA" w:rsidRPr="001663C4">
        <w:rPr>
          <w:rFonts w:asciiTheme="minorHAnsi" w:hAnsiTheme="minorHAnsi" w:cstheme="minorHAnsi"/>
          <w:b w:val="0"/>
          <w:bCs/>
          <w:color w:val="000000" w:themeColor="text1"/>
          <w:sz w:val="24"/>
          <w:szCs w:val="24"/>
          <w:lang w:val="en-GB"/>
        </w:rPr>
        <w:t>is</w:t>
      </w:r>
      <w:r w:rsidRPr="001663C4">
        <w:rPr>
          <w:rFonts w:asciiTheme="minorHAnsi" w:hAnsiTheme="minorHAnsi" w:cstheme="minorHAnsi"/>
          <w:b w:val="0"/>
          <w:bCs/>
          <w:color w:val="000000" w:themeColor="text1"/>
          <w:sz w:val="24"/>
          <w:szCs w:val="24"/>
          <w:lang w:val="en-GB"/>
        </w:rPr>
        <w:t xml:space="preserve"> of this Action Research Project was internally funded by the University of Sunderland</w:t>
      </w:r>
      <w:r w:rsidR="006D76DA" w:rsidRPr="001663C4">
        <w:rPr>
          <w:rFonts w:asciiTheme="minorHAnsi" w:hAnsiTheme="minorHAnsi" w:cstheme="minorHAnsi"/>
          <w:b w:val="0"/>
          <w:bCs/>
          <w:color w:val="000000" w:themeColor="text1"/>
          <w:sz w:val="24"/>
          <w:szCs w:val="24"/>
          <w:lang w:val="en-GB"/>
        </w:rPr>
        <w:t>.</w:t>
      </w:r>
    </w:p>
    <w:p w14:paraId="39B65B14" w14:textId="28648FEA" w:rsidR="00594DEF" w:rsidRPr="001663C4" w:rsidRDefault="00594DEF">
      <w:pPr>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Funding for </w:t>
      </w:r>
      <w:r w:rsidR="00B12B6A" w:rsidRPr="001663C4">
        <w:rPr>
          <w:rFonts w:asciiTheme="minorHAnsi" w:hAnsiTheme="minorHAnsi" w:cstheme="minorHAnsi"/>
          <w:b w:val="0"/>
          <w:bCs/>
          <w:color w:val="000000" w:themeColor="text1"/>
          <w:sz w:val="24"/>
          <w:szCs w:val="24"/>
          <w:lang w:val="en-GB"/>
        </w:rPr>
        <w:t>implementing FPR with Organisation 4 has been provided by the North East Social Work Alliance (NESWA).</w:t>
      </w:r>
    </w:p>
    <w:p w14:paraId="4456CAB3" w14:textId="77777777" w:rsidR="00EE3580" w:rsidRPr="001663C4" w:rsidRDefault="00EE3580">
      <w:pPr>
        <w:rPr>
          <w:rFonts w:asciiTheme="minorHAnsi" w:hAnsiTheme="minorHAnsi" w:cstheme="minorHAnsi"/>
          <w:b w:val="0"/>
          <w:bCs/>
          <w:color w:val="000000" w:themeColor="text1"/>
          <w:sz w:val="24"/>
          <w:szCs w:val="24"/>
          <w:lang w:val="en-GB"/>
        </w:rPr>
      </w:pPr>
    </w:p>
    <w:p w14:paraId="2EF39273"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Introduction</w:t>
      </w:r>
    </w:p>
    <w:p w14:paraId="51460B89" w14:textId="661A39BD"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The aim of this paper is to present an empowerment model for developing social work</w:t>
      </w:r>
      <w:r w:rsidRPr="001663C4">
        <w:rPr>
          <w:rStyle w:val="EndnoteReference"/>
          <w:rFonts w:asciiTheme="minorHAnsi" w:hAnsiTheme="minorHAnsi" w:cstheme="minorHAnsi"/>
          <w:b w:val="0"/>
          <w:bCs/>
          <w:color w:val="000000" w:themeColor="text1"/>
          <w:sz w:val="24"/>
          <w:szCs w:val="24"/>
          <w:lang w:val="en-GB"/>
        </w:rPr>
        <w:endnoteReference w:id="1"/>
      </w:r>
      <w:r w:rsidRPr="001663C4">
        <w:rPr>
          <w:rFonts w:asciiTheme="minorHAnsi" w:hAnsiTheme="minorHAnsi" w:cstheme="minorHAnsi"/>
          <w:b w:val="0"/>
          <w:bCs/>
          <w:color w:val="000000" w:themeColor="text1"/>
          <w:sz w:val="24"/>
          <w:szCs w:val="24"/>
          <w:lang w:val="en-GB"/>
        </w:rPr>
        <w:t xml:space="preserve">  practitioner researchers; Facilitated Practice-based Research</w:t>
      </w:r>
      <w:r w:rsidR="00B77729">
        <w:rPr>
          <w:rFonts w:asciiTheme="minorHAnsi" w:hAnsiTheme="minorHAnsi" w:cstheme="minorHAnsi"/>
          <w:b w:val="0"/>
          <w:bCs/>
          <w:color w:val="000000" w:themeColor="text1"/>
          <w:sz w:val="24"/>
          <w:szCs w:val="24"/>
          <w:lang w:val="en-GB"/>
        </w:rPr>
        <w:t xml:space="preserve"> (</w:t>
      </w:r>
      <w:r w:rsidR="00B77729">
        <w:rPr>
          <w:rFonts w:ascii="Calibri" w:hAnsi="Calibri" w:cs="Calibri"/>
          <w:b w:val="0"/>
          <w:bCs/>
          <w:color w:val="000000" w:themeColor="text1"/>
          <w:sz w:val="24"/>
          <w:szCs w:val="24"/>
          <w:lang w:val="en-GB"/>
        </w:rPr>
        <w:t>©</w:t>
      </w:r>
      <w:r w:rsidR="00B77729">
        <w:rPr>
          <w:rFonts w:asciiTheme="minorHAnsi" w:hAnsiTheme="minorHAnsi" w:cstheme="minorHAnsi"/>
          <w:b w:val="0"/>
          <w:bCs/>
          <w:color w:val="000000" w:themeColor="text1"/>
          <w:sz w:val="24"/>
          <w:szCs w:val="24"/>
          <w:lang w:val="en-GB"/>
        </w:rPr>
        <w:t>University of Sunderland)</w:t>
      </w:r>
      <w:r w:rsidRPr="001663C4">
        <w:rPr>
          <w:rFonts w:asciiTheme="minorHAnsi" w:hAnsiTheme="minorHAnsi" w:cstheme="minorHAnsi"/>
          <w:b w:val="0"/>
          <w:bCs/>
          <w:color w:val="000000" w:themeColor="text1"/>
          <w:sz w:val="24"/>
          <w:szCs w:val="24"/>
          <w:lang w:val="en-GB"/>
        </w:rPr>
        <w:t>. The intention is to open dialogue about how practitioners can be empowered to reframe their research skills and knowledge as well as making a call to reflexivity in the academic community about how concepts of ‘legitimate’ knowledge are still being reinforced. This paper theorises that the field of social work research is a complex social phenomenon, and it is only in understanding the mechanisms within it that meaningful change can occur.</w:t>
      </w:r>
    </w:p>
    <w:p w14:paraId="073564BC"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Beginning in 2019, a piece of ongoing Participatory Action Research (PAR) has been conducted by the author with community practitioners to address the question: how can we bridge the gap between social work research and social work practice? </w:t>
      </w:r>
    </w:p>
    <w:p w14:paraId="26662B3C"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38955358"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Diagnosing the problem</w:t>
      </w:r>
    </w:p>
    <w:p w14:paraId="53AB39CC"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lang w:val="en-GB"/>
        </w:rPr>
      </w:pPr>
      <w:r w:rsidRPr="001663C4">
        <w:rPr>
          <w:rFonts w:asciiTheme="minorHAnsi" w:hAnsiTheme="minorHAnsi" w:cstheme="minorHAnsi"/>
          <w:b w:val="0"/>
          <w:bCs/>
          <w:i/>
          <w:iCs/>
          <w:color w:val="000000" w:themeColor="text1"/>
          <w:sz w:val="24"/>
          <w:szCs w:val="24"/>
          <w:lang w:val="en-GB"/>
        </w:rPr>
        <w:t>Social work and research anxiety</w:t>
      </w:r>
    </w:p>
    <w:p w14:paraId="6AD5375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lastRenderedPageBreak/>
        <w:t xml:space="preserve">In 1987, Irwin Epstein wrote </w:t>
      </w:r>
      <w:r w:rsidRPr="001663C4">
        <w:rPr>
          <w:rFonts w:asciiTheme="minorHAnsi" w:hAnsiTheme="minorHAnsi" w:cstheme="minorHAnsi"/>
          <w:b w:val="0"/>
          <w:bCs/>
          <w:color w:val="000000" w:themeColor="text1"/>
          <w:sz w:val="24"/>
          <w:szCs w:val="24"/>
        </w:rPr>
        <w:t>‘…no other part of the social work curriculum has been so consistently met with as much groaning, moaning, eye rolling, hyperventilation and waiver-strategizing as the research course’ (Epstein, 1987 p.71, cited in Epstein, 2016 p.4). Yet despite attempts to address this through various means (</w:t>
      </w:r>
      <w:r w:rsidRPr="001663C4">
        <w:rPr>
          <w:rFonts w:asciiTheme="minorHAnsi" w:hAnsiTheme="minorHAnsi" w:cstheme="minorHAnsi"/>
          <w:b w:val="0"/>
          <w:bCs/>
          <w:color w:val="000000" w:themeColor="text1"/>
          <w:sz w:val="24"/>
          <w:szCs w:val="24"/>
          <w:lang w:val="en-GB"/>
        </w:rPr>
        <w:t xml:space="preserve">such as Chakradhar, 2018 and Powell and Orme, 2011, relating to pre-qualification and the Practice Research paradigm, explored </w:t>
      </w:r>
      <w:r w:rsidRPr="001663C4">
        <w:rPr>
          <w:rFonts w:asciiTheme="minorHAnsi" w:hAnsiTheme="minorHAnsi" w:cstheme="minorHAnsi"/>
          <w:b w:val="0"/>
          <w:bCs/>
          <w:color w:val="000000" w:themeColor="text1"/>
          <w:sz w:val="24"/>
          <w:szCs w:val="24"/>
        </w:rPr>
        <w:t>later in this section), this anxiety ‘still rings true today’ (Epstein, 2016 p.4); a view shared by the author due to their own lived experiences as a lecturer who teaches research to social work students and practitioners (explained later). This article explores the issue of research anxiety from the perspective of empowering those who are (or would be) interested in research if that anxiety was addressed.</w:t>
      </w:r>
    </w:p>
    <w:p w14:paraId="10B9554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This ‘research anxiety’ continues to exist across European and international (Perkins et al., 2020 p.170) social work education and practice, and in practitioners themselves. Powell and Orme (2011) refer to this as a ‘circle of resistance’ (p.1568); as students become practitioners and then some become educators, they take this research anxiety back into the education environment, thus beginning the process anew. So, those teaching research (even Practice Research) to social work students face ‘challenges in capacities and perceived capabilities to teach research’ (</w:t>
      </w:r>
      <w:proofErr w:type="spellStart"/>
      <w:r w:rsidRPr="001663C4">
        <w:rPr>
          <w:rFonts w:asciiTheme="minorHAnsi" w:hAnsiTheme="minorHAnsi" w:cstheme="minorHAnsi"/>
          <w:b w:val="0"/>
          <w:bCs/>
          <w:color w:val="000000" w:themeColor="text1"/>
          <w:sz w:val="24"/>
          <w:szCs w:val="24"/>
          <w:lang w:val="en-GB"/>
        </w:rPr>
        <w:t>Kwong</w:t>
      </w:r>
      <w:proofErr w:type="spellEnd"/>
      <w:r w:rsidRPr="001663C4">
        <w:rPr>
          <w:rFonts w:asciiTheme="minorHAnsi" w:hAnsiTheme="minorHAnsi" w:cstheme="minorHAnsi"/>
          <w:b w:val="0"/>
          <w:bCs/>
          <w:color w:val="000000" w:themeColor="text1"/>
          <w:sz w:val="24"/>
          <w:szCs w:val="24"/>
          <w:lang w:val="en-GB"/>
        </w:rPr>
        <w:t xml:space="preserve">, 2017 p.3). Further potential conflict emerges because of the demands on how professional social work courses are taught within Higher Education Institutions (HEIs) and additional pressures such as the Research Excellence Framework (REF, </w:t>
      </w:r>
      <w:hyperlink r:id="rId7" w:history="1">
        <w:r w:rsidRPr="001663C4">
          <w:rPr>
            <w:rStyle w:val="Hyperlink"/>
            <w:rFonts w:asciiTheme="minorHAnsi" w:hAnsiTheme="minorHAnsi" w:cstheme="minorHAnsi"/>
            <w:b w:val="0"/>
            <w:bCs/>
            <w:color w:val="000000" w:themeColor="text1"/>
            <w:sz w:val="24"/>
            <w:szCs w:val="24"/>
            <w:lang w:val="en-GB"/>
          </w:rPr>
          <w:t>https://www.ref.ac.uk/</w:t>
        </w:r>
      </w:hyperlink>
      <w:r w:rsidRPr="001663C4">
        <w:rPr>
          <w:rFonts w:asciiTheme="minorHAnsi" w:hAnsiTheme="minorHAnsi" w:cstheme="minorHAnsi"/>
          <w:b w:val="0"/>
          <w:bCs/>
          <w:color w:val="000000" w:themeColor="text1"/>
          <w:sz w:val="24"/>
          <w:szCs w:val="24"/>
          <w:lang w:val="en-GB"/>
        </w:rPr>
        <w:t xml:space="preserve">) where UK HEIs are held accountable for their use of public research funding. Thus, tension emerges between addressing accountability for practice and accountability for research. These challenges in effect culminate in differences between those seen as social work </w:t>
      </w:r>
      <w:r w:rsidRPr="001663C4">
        <w:rPr>
          <w:rFonts w:asciiTheme="minorHAnsi" w:hAnsiTheme="minorHAnsi" w:cstheme="minorHAnsi"/>
          <w:b w:val="0"/>
          <w:bCs/>
          <w:i/>
          <w:iCs/>
          <w:color w:val="000000" w:themeColor="text1"/>
          <w:sz w:val="24"/>
          <w:szCs w:val="24"/>
          <w:lang w:val="en-GB"/>
        </w:rPr>
        <w:t>academics</w:t>
      </w:r>
      <w:r w:rsidRPr="001663C4">
        <w:rPr>
          <w:rFonts w:asciiTheme="minorHAnsi" w:hAnsiTheme="minorHAnsi" w:cstheme="minorHAnsi"/>
          <w:b w:val="0"/>
          <w:bCs/>
          <w:color w:val="000000" w:themeColor="text1"/>
          <w:sz w:val="24"/>
          <w:szCs w:val="24"/>
          <w:lang w:val="en-GB"/>
        </w:rPr>
        <w:t xml:space="preserve"> (research-focused) in HEIs and those seen as social work </w:t>
      </w:r>
      <w:r w:rsidRPr="001663C4">
        <w:rPr>
          <w:rFonts w:asciiTheme="minorHAnsi" w:hAnsiTheme="minorHAnsi" w:cstheme="minorHAnsi"/>
          <w:b w:val="0"/>
          <w:bCs/>
          <w:i/>
          <w:iCs/>
          <w:color w:val="000000" w:themeColor="text1"/>
          <w:sz w:val="24"/>
          <w:szCs w:val="24"/>
          <w:lang w:val="en-GB"/>
        </w:rPr>
        <w:t xml:space="preserve">educators </w:t>
      </w:r>
      <w:r w:rsidRPr="001663C4">
        <w:rPr>
          <w:rFonts w:asciiTheme="minorHAnsi" w:hAnsiTheme="minorHAnsi" w:cstheme="minorHAnsi"/>
          <w:b w:val="0"/>
          <w:bCs/>
          <w:color w:val="000000" w:themeColor="text1"/>
          <w:sz w:val="24"/>
          <w:szCs w:val="24"/>
          <w:lang w:val="en-GB"/>
        </w:rPr>
        <w:t>(practice-focused). Accordingly, developments in the social work research field largely come from research-focused academics, which creates further gaps between practitioners and those teaching social work in HEIs (Powell and Orme, 2011).</w:t>
      </w:r>
    </w:p>
    <w:p w14:paraId="3109800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548244D8"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lang w:val="en-GB"/>
        </w:rPr>
      </w:pPr>
      <w:r w:rsidRPr="001663C4">
        <w:rPr>
          <w:rFonts w:asciiTheme="minorHAnsi" w:hAnsiTheme="minorHAnsi" w:cstheme="minorHAnsi"/>
          <w:b w:val="0"/>
          <w:bCs/>
          <w:i/>
          <w:iCs/>
          <w:color w:val="000000" w:themeColor="text1"/>
          <w:sz w:val="24"/>
          <w:szCs w:val="24"/>
          <w:lang w:val="en-GB"/>
        </w:rPr>
        <w:t>Social Work Practice Research</w:t>
      </w:r>
    </w:p>
    <w:p w14:paraId="2497EF4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lastRenderedPageBreak/>
        <w:t xml:space="preserve">Various approaches have emerged to contest the discourse concerning what ‘legitimate’ social work research </w:t>
      </w:r>
      <w:r w:rsidRPr="001663C4">
        <w:rPr>
          <w:rFonts w:asciiTheme="minorHAnsi" w:hAnsiTheme="minorHAnsi" w:cstheme="minorHAnsi"/>
          <w:b w:val="0"/>
          <w:bCs/>
          <w:i/>
          <w:iCs/>
          <w:color w:val="000000" w:themeColor="text1"/>
          <w:sz w:val="24"/>
          <w:szCs w:val="24"/>
          <w:lang w:val="en-GB"/>
        </w:rPr>
        <w:t>is</w:t>
      </w:r>
      <w:r w:rsidRPr="001663C4">
        <w:rPr>
          <w:rFonts w:asciiTheme="minorHAnsi" w:hAnsiTheme="minorHAnsi" w:cstheme="minorHAnsi"/>
          <w:b w:val="0"/>
          <w:bCs/>
          <w:color w:val="000000" w:themeColor="text1"/>
          <w:sz w:val="24"/>
          <w:szCs w:val="24"/>
          <w:lang w:val="en-GB"/>
        </w:rPr>
        <w:t xml:space="preserve">, what it </w:t>
      </w:r>
      <w:r w:rsidRPr="001663C4">
        <w:rPr>
          <w:rFonts w:asciiTheme="minorHAnsi" w:hAnsiTheme="minorHAnsi" w:cstheme="minorHAnsi"/>
          <w:b w:val="0"/>
          <w:bCs/>
          <w:i/>
          <w:iCs/>
          <w:color w:val="000000" w:themeColor="text1"/>
          <w:sz w:val="24"/>
          <w:szCs w:val="24"/>
          <w:lang w:val="en-GB"/>
        </w:rPr>
        <w:t>should</w:t>
      </w:r>
      <w:r w:rsidRPr="001663C4">
        <w:rPr>
          <w:rFonts w:asciiTheme="minorHAnsi" w:hAnsiTheme="minorHAnsi" w:cstheme="minorHAnsi"/>
          <w:b w:val="0"/>
          <w:bCs/>
          <w:color w:val="000000" w:themeColor="text1"/>
          <w:sz w:val="24"/>
          <w:szCs w:val="24"/>
          <w:lang w:val="en-GB"/>
        </w:rPr>
        <w:t xml:space="preserve"> be, and how it should relate to practice. The appetite for research-informed practice emerged in the form of Evidence Based Practice (EBP), which emphasises the use of what was conceptualised as ‘scientific evidence’ to inform practice (</w:t>
      </w:r>
      <w:proofErr w:type="spellStart"/>
      <w:r w:rsidRPr="001663C4">
        <w:rPr>
          <w:rFonts w:asciiTheme="minorHAnsi" w:hAnsiTheme="minorHAnsi" w:cstheme="minorHAnsi"/>
          <w:b w:val="0"/>
          <w:bCs/>
          <w:color w:val="000000" w:themeColor="text1"/>
          <w:sz w:val="24"/>
          <w:szCs w:val="24"/>
          <w:lang w:val="en-GB"/>
        </w:rPr>
        <w:t>Krysik</w:t>
      </w:r>
      <w:proofErr w:type="spellEnd"/>
      <w:r w:rsidRPr="001663C4">
        <w:rPr>
          <w:rFonts w:asciiTheme="minorHAnsi" w:hAnsiTheme="minorHAnsi" w:cstheme="minorHAnsi"/>
          <w:b w:val="0"/>
          <w:bCs/>
          <w:color w:val="000000" w:themeColor="text1"/>
          <w:sz w:val="24"/>
          <w:szCs w:val="24"/>
          <w:lang w:val="en-GB"/>
        </w:rPr>
        <w:t xml:space="preserve"> and Finn, 2013 p.23). However, interest in EBP has not necessarily translated into regular practice use. As </w:t>
      </w:r>
      <w:proofErr w:type="spellStart"/>
      <w:r w:rsidRPr="001663C4">
        <w:rPr>
          <w:rFonts w:asciiTheme="minorHAnsi" w:hAnsiTheme="minorHAnsi" w:cstheme="minorHAnsi"/>
          <w:b w:val="0"/>
          <w:bCs/>
          <w:color w:val="000000" w:themeColor="text1"/>
          <w:sz w:val="24"/>
          <w:szCs w:val="24"/>
          <w:lang w:val="en-GB"/>
        </w:rPr>
        <w:t>Bochicchio</w:t>
      </w:r>
      <w:proofErr w:type="spellEnd"/>
      <w:r w:rsidRPr="001663C4">
        <w:rPr>
          <w:rFonts w:asciiTheme="minorHAnsi" w:hAnsiTheme="minorHAnsi" w:cstheme="minorHAnsi"/>
          <w:b w:val="0"/>
          <w:bCs/>
          <w:color w:val="000000" w:themeColor="text1"/>
          <w:sz w:val="24"/>
          <w:szCs w:val="24"/>
          <w:lang w:val="en-GB"/>
        </w:rPr>
        <w:t xml:space="preserve"> et al. (2021) found, those in practice questioned its value as it does not mirror what is actually happening in practice and instead subscribes to a different epistemological approach. EBP has thus been challenged, for example, for reinforcing the divide between research and practice by positioning social work practitioners as solely ‘research consumers’ (Dodd and Epstein, 2012) and for not demonstrating respect to them (Fisher, 2020).</w:t>
      </w:r>
    </w:p>
    <w:p w14:paraId="73C45F3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Practice-Based Research (PBR) emerged as an alternative, emphasising the need for social work ‘research [to be] conducted by practitioners for practice purposes’ (Dodd and Epstein, 2012 p.5). Through reflection and dialogue about what kind of research is beneficial to social work practice, and how practitioners should be involved, Social Work Practice Research (SWPR) emerged, beginning with the Salisbury Statement (2008), and culminating in the publication of </w:t>
      </w:r>
      <w:r w:rsidRPr="001663C4">
        <w:rPr>
          <w:rFonts w:asciiTheme="minorHAnsi" w:hAnsiTheme="minorHAnsi" w:cstheme="minorHAnsi"/>
          <w:b w:val="0"/>
          <w:bCs/>
          <w:i/>
          <w:iCs/>
          <w:color w:val="000000" w:themeColor="text1"/>
          <w:sz w:val="24"/>
          <w:szCs w:val="24"/>
          <w:lang w:val="en-GB"/>
        </w:rPr>
        <w:t>The Routledge Handbook of Social Work Practice Research</w:t>
      </w:r>
      <w:r w:rsidRPr="001663C4">
        <w:rPr>
          <w:rFonts w:asciiTheme="minorHAnsi" w:hAnsiTheme="minorHAnsi" w:cstheme="minorHAnsi"/>
          <w:b w:val="0"/>
          <w:bCs/>
          <w:color w:val="000000" w:themeColor="text1"/>
          <w:sz w:val="24"/>
          <w:szCs w:val="24"/>
          <w:lang w:val="en-GB"/>
        </w:rPr>
        <w:t xml:space="preserve"> (Joubert and Webber, 2020a).</w:t>
      </w:r>
    </w:p>
    <w:p w14:paraId="4F84F587"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Interested colleagues met in 2008 for the first International Practice Research Seminar in Salisbury aimed at beginning an open dialogue on the meaning of Practice Research, emphasising the need for partnerships between researchers and practitioners and to address issues of empowerment (Salisbury Statement, 2008). Subsequent SWPR conferences have each addressed further developments: that this is not a different approach but a meeting point between practice and research (Helsinki Statement, 2012); to widen the concept from Europe to worldwide and to widen it from social work to other professions and those in receipt of welfare related services (New York Statement, 2014); and taking the global perspective further whilst highlighting the context-specific nature of Practice Research (Hong Kong Statement, 2017) (all statements are detailed in </w:t>
      </w: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and </w:t>
      </w:r>
      <w:proofErr w:type="spellStart"/>
      <w:r w:rsidRPr="001663C4">
        <w:rPr>
          <w:rFonts w:asciiTheme="minorHAnsi" w:hAnsiTheme="minorHAnsi" w:cstheme="minorHAnsi"/>
          <w:b w:val="0"/>
          <w:bCs/>
          <w:color w:val="000000" w:themeColor="text1"/>
          <w:sz w:val="24"/>
          <w:szCs w:val="24"/>
          <w:lang w:val="en-GB"/>
        </w:rPr>
        <w:t>Wisti</w:t>
      </w:r>
      <w:proofErr w:type="spellEnd"/>
      <w:r w:rsidRPr="001663C4">
        <w:rPr>
          <w:rFonts w:asciiTheme="minorHAnsi" w:hAnsiTheme="minorHAnsi" w:cstheme="minorHAnsi"/>
          <w:b w:val="0"/>
          <w:bCs/>
          <w:color w:val="000000" w:themeColor="text1"/>
          <w:sz w:val="24"/>
          <w:szCs w:val="24"/>
          <w:lang w:val="en-GB"/>
        </w:rPr>
        <w:t>, 2020).</w:t>
      </w:r>
    </w:p>
    <w:p w14:paraId="3ACC1954"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Taken as an overarching paradigm, SWPR is now identified as being about knowledge development to improve practice, emphasising a focus on the wellbeing of service users. It is also </w:t>
      </w:r>
      <w:r w:rsidRPr="001663C4">
        <w:rPr>
          <w:rFonts w:asciiTheme="minorHAnsi" w:hAnsiTheme="minorHAnsi" w:cstheme="minorHAnsi"/>
          <w:b w:val="0"/>
          <w:bCs/>
          <w:color w:val="000000" w:themeColor="text1"/>
          <w:sz w:val="24"/>
          <w:szCs w:val="24"/>
          <w:lang w:val="en-GB"/>
        </w:rPr>
        <w:lastRenderedPageBreak/>
        <w:t xml:space="preserve">collaborative, to address power differentials, it attempts to address the gap between research and practice, and it can be change-orientated (Austin, 2020). This </w:t>
      </w:r>
      <w:r w:rsidRPr="001663C4">
        <w:rPr>
          <w:rFonts w:asciiTheme="minorHAnsi" w:hAnsiTheme="minorHAnsi" w:cstheme="minorHAnsi"/>
          <w:b w:val="0"/>
          <w:bCs/>
          <w:i/>
          <w:iCs/>
          <w:color w:val="000000" w:themeColor="text1"/>
          <w:sz w:val="24"/>
          <w:szCs w:val="24"/>
          <w:lang w:val="en-GB"/>
        </w:rPr>
        <w:t>knowledge development process</w:t>
      </w:r>
      <w:r w:rsidRPr="001663C4">
        <w:rPr>
          <w:rFonts w:asciiTheme="minorHAnsi" w:hAnsiTheme="minorHAnsi" w:cstheme="minorHAnsi"/>
          <w:b w:val="0"/>
          <w:bCs/>
          <w:color w:val="000000" w:themeColor="text1"/>
          <w:sz w:val="24"/>
          <w:szCs w:val="24"/>
          <w:lang w:val="en-GB"/>
        </w:rPr>
        <w:t xml:space="preserve"> is often based in agencies focused on service evaluation and improvement. It emphasises collaboration with multiple stakeholders (Fisher et al., 2016), and this includes practitioners and researchers.</w:t>
      </w:r>
    </w:p>
    <w:p w14:paraId="42F48AD3"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In its rudimentary state, SWPR is thus about bringing together ‘practitioners, researchers, services users and educators in a negotiated process of enquiry’ (Joubert and Webber, 2020b p.1). Its aim is to move social work practice from something largely driven by theoretical concepts and experiential learning to something driven by research evidence (without privilege given to any one approach over another). Joubert and Webber (2020b) argue that it is no longer the case that social workers do not have an appetite for embedding research. However, Shaw and Lunt (2018) identify two distinct types of SWPR – either practitioner-led or academic-partnership. They highlight certain differences between these, such as the particular tone used in outputs from practitioner-led research (practice reports) compared with outputs from academic-led research (journal articles). In addition, Fisher (2020) emphasises that this research does not have to be conducted by practitioners themselves, and </w:t>
      </w: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w:t>
      </w:r>
      <w:r w:rsidRPr="001663C4">
        <w:rPr>
          <w:rFonts w:asciiTheme="minorHAnsi" w:hAnsiTheme="minorHAnsi" w:cstheme="minorHAnsi"/>
          <w:b w:val="0"/>
          <w:bCs/>
          <w:color w:val="000000" w:themeColor="text1"/>
          <w:sz w:val="24"/>
          <w:szCs w:val="24"/>
        </w:rPr>
        <w:t xml:space="preserve">(2011a) suggests research is best done by practitioners </w:t>
      </w:r>
      <w:r w:rsidRPr="001663C4">
        <w:rPr>
          <w:rFonts w:asciiTheme="minorHAnsi" w:hAnsiTheme="minorHAnsi" w:cstheme="minorHAnsi"/>
          <w:b w:val="0"/>
          <w:bCs/>
          <w:i/>
          <w:iCs/>
          <w:color w:val="000000" w:themeColor="text1"/>
          <w:sz w:val="24"/>
          <w:szCs w:val="24"/>
        </w:rPr>
        <w:t>in partnership</w:t>
      </w:r>
      <w:r w:rsidRPr="001663C4">
        <w:rPr>
          <w:rFonts w:asciiTheme="minorHAnsi" w:hAnsiTheme="minorHAnsi" w:cstheme="minorHAnsi"/>
          <w:b w:val="0"/>
          <w:bCs/>
          <w:color w:val="000000" w:themeColor="text1"/>
          <w:sz w:val="24"/>
          <w:szCs w:val="24"/>
        </w:rPr>
        <w:t xml:space="preserve"> with researchers.</w:t>
      </w:r>
      <w:r w:rsidRPr="001663C4">
        <w:rPr>
          <w:rFonts w:asciiTheme="minorHAnsi" w:hAnsiTheme="minorHAnsi" w:cstheme="minorHAnsi"/>
          <w:b w:val="0"/>
          <w:bCs/>
          <w:color w:val="000000" w:themeColor="text1"/>
          <w:sz w:val="24"/>
          <w:szCs w:val="24"/>
          <w:lang w:val="en-GB"/>
        </w:rPr>
        <w:t xml:space="preserve"> </w:t>
      </w:r>
      <w:proofErr w:type="spellStart"/>
      <w:r w:rsidRPr="001663C4">
        <w:rPr>
          <w:rFonts w:asciiTheme="minorHAnsi" w:hAnsiTheme="minorHAnsi" w:cstheme="minorHAnsi"/>
          <w:b w:val="0"/>
          <w:bCs/>
          <w:color w:val="000000" w:themeColor="text1"/>
          <w:sz w:val="24"/>
          <w:szCs w:val="24"/>
          <w:lang w:val="en-GB"/>
        </w:rPr>
        <w:t>Fouché</w:t>
      </w:r>
      <w:proofErr w:type="spellEnd"/>
      <w:r w:rsidRPr="001663C4">
        <w:rPr>
          <w:rFonts w:asciiTheme="minorHAnsi" w:hAnsiTheme="minorHAnsi" w:cstheme="minorHAnsi"/>
          <w:b w:val="0"/>
          <w:bCs/>
          <w:color w:val="000000" w:themeColor="text1"/>
          <w:sz w:val="24"/>
          <w:szCs w:val="24"/>
          <w:lang w:val="en-GB"/>
        </w:rPr>
        <w:t xml:space="preserve"> (2015) argues there is still a tenuous relationship between social work research and social work practice, but that this does not need to be explored in order to do SWPR successfully. However, it is posited that there may be unintended consequences to this, where students and practitioners are socialised into believing research and practice </w:t>
      </w:r>
      <w:r w:rsidRPr="001663C4">
        <w:rPr>
          <w:rFonts w:asciiTheme="minorHAnsi" w:hAnsiTheme="minorHAnsi" w:cstheme="minorHAnsi"/>
          <w:b w:val="0"/>
          <w:bCs/>
          <w:i/>
          <w:iCs/>
          <w:color w:val="000000" w:themeColor="text1"/>
          <w:sz w:val="24"/>
          <w:szCs w:val="24"/>
          <w:lang w:val="en-GB"/>
        </w:rPr>
        <w:t>are</w:t>
      </w:r>
      <w:r w:rsidRPr="001663C4">
        <w:rPr>
          <w:rFonts w:asciiTheme="minorHAnsi" w:hAnsiTheme="minorHAnsi" w:cstheme="minorHAnsi"/>
          <w:b w:val="0"/>
          <w:bCs/>
          <w:color w:val="000000" w:themeColor="text1"/>
          <w:sz w:val="24"/>
          <w:szCs w:val="24"/>
          <w:lang w:val="en-GB"/>
        </w:rPr>
        <w:t xml:space="preserve"> separate, and that they are </w:t>
      </w:r>
      <w:r w:rsidRPr="001663C4">
        <w:rPr>
          <w:rFonts w:asciiTheme="minorHAnsi" w:hAnsiTheme="minorHAnsi" w:cstheme="minorHAnsi"/>
          <w:b w:val="0"/>
          <w:bCs/>
          <w:i/>
          <w:iCs/>
          <w:color w:val="000000" w:themeColor="text1"/>
          <w:sz w:val="24"/>
          <w:szCs w:val="24"/>
          <w:lang w:val="en-GB"/>
        </w:rPr>
        <w:t>not</w:t>
      </w:r>
      <w:r w:rsidRPr="001663C4">
        <w:rPr>
          <w:rFonts w:asciiTheme="minorHAnsi" w:hAnsiTheme="minorHAnsi" w:cstheme="minorHAnsi"/>
          <w:b w:val="0"/>
          <w:bCs/>
          <w:color w:val="000000" w:themeColor="text1"/>
          <w:sz w:val="24"/>
          <w:szCs w:val="24"/>
          <w:lang w:val="en-GB"/>
        </w:rPr>
        <w:t xml:space="preserve"> researchers.</w:t>
      </w:r>
    </w:p>
    <w:p w14:paraId="3A7E9C4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263EA258"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lang w:val="en-GB"/>
        </w:rPr>
      </w:pPr>
      <w:r w:rsidRPr="001663C4">
        <w:rPr>
          <w:rFonts w:asciiTheme="minorHAnsi" w:hAnsiTheme="minorHAnsi" w:cstheme="minorHAnsi"/>
          <w:b w:val="0"/>
          <w:bCs/>
          <w:i/>
          <w:iCs/>
          <w:color w:val="000000" w:themeColor="text1"/>
          <w:sz w:val="24"/>
          <w:szCs w:val="24"/>
          <w:lang w:val="en-GB"/>
        </w:rPr>
        <w:t>The social work research field</w:t>
      </w:r>
    </w:p>
    <w:p w14:paraId="4BE6CD2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Pierre Bourdieu aimed to provide a conceptual tool for understanding complex social phenomena and how power operates in social life within particular fields (</w:t>
      </w:r>
      <w:proofErr w:type="spellStart"/>
      <w:r w:rsidRPr="001663C4">
        <w:rPr>
          <w:rFonts w:asciiTheme="minorHAnsi" w:hAnsiTheme="minorHAnsi" w:cstheme="minorHAnsi"/>
          <w:b w:val="0"/>
          <w:bCs/>
          <w:color w:val="000000" w:themeColor="text1"/>
          <w:sz w:val="24"/>
          <w:szCs w:val="24"/>
          <w:lang w:val="en-GB"/>
        </w:rPr>
        <w:t>Emirbayer</w:t>
      </w:r>
      <w:proofErr w:type="spellEnd"/>
      <w:r w:rsidRPr="001663C4">
        <w:rPr>
          <w:rFonts w:asciiTheme="minorHAnsi" w:hAnsiTheme="minorHAnsi" w:cstheme="minorHAnsi"/>
          <w:b w:val="0"/>
          <w:bCs/>
          <w:color w:val="000000" w:themeColor="text1"/>
          <w:sz w:val="24"/>
          <w:szCs w:val="24"/>
          <w:lang w:val="en-GB"/>
        </w:rPr>
        <w:t xml:space="preserve"> and Williams, 2005). Specifically, Bourdieu enabled consideration of ‘field specific struggles over power’ (ibid. p.715), which allows better understanding of how certain individuals and environments operate and interact with one another.</w:t>
      </w:r>
    </w:p>
    <w:p w14:paraId="705A34E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lastRenderedPageBreak/>
        <w:t xml:space="preserve">He presented the concept of </w:t>
      </w:r>
      <w:r w:rsidRPr="001663C4">
        <w:rPr>
          <w:rFonts w:asciiTheme="minorHAnsi" w:hAnsiTheme="minorHAnsi" w:cstheme="minorHAnsi"/>
          <w:b w:val="0"/>
          <w:bCs/>
          <w:i/>
          <w:iCs/>
          <w:color w:val="000000" w:themeColor="text1"/>
          <w:sz w:val="24"/>
          <w:szCs w:val="24"/>
          <w:lang w:val="en-GB"/>
        </w:rPr>
        <w:t>habitus</w:t>
      </w:r>
      <w:r w:rsidRPr="001663C4">
        <w:rPr>
          <w:rFonts w:asciiTheme="minorHAnsi" w:hAnsiTheme="minorHAnsi" w:cstheme="minorHAnsi"/>
          <w:b w:val="0"/>
          <w:bCs/>
          <w:color w:val="000000" w:themeColor="text1"/>
          <w:sz w:val="24"/>
          <w:szCs w:val="24"/>
          <w:lang w:val="en-GB"/>
        </w:rPr>
        <w:t xml:space="preserve"> to mean the dispositions acquired by an individual as they operate within a particular </w:t>
      </w:r>
      <w:r w:rsidRPr="001663C4">
        <w:rPr>
          <w:rFonts w:asciiTheme="minorHAnsi" w:hAnsiTheme="minorHAnsi" w:cstheme="minorHAnsi"/>
          <w:b w:val="0"/>
          <w:bCs/>
          <w:i/>
          <w:iCs/>
          <w:color w:val="000000" w:themeColor="text1"/>
          <w:sz w:val="24"/>
          <w:szCs w:val="24"/>
          <w:lang w:val="en-GB"/>
        </w:rPr>
        <w:t xml:space="preserve">field </w:t>
      </w:r>
      <w:r w:rsidRPr="001663C4">
        <w:rPr>
          <w:rFonts w:asciiTheme="minorHAnsi" w:hAnsiTheme="minorHAnsi" w:cstheme="minorHAnsi"/>
          <w:b w:val="0"/>
          <w:bCs/>
          <w:color w:val="000000" w:themeColor="text1"/>
          <w:sz w:val="24"/>
          <w:szCs w:val="24"/>
          <w:lang w:val="en-GB"/>
        </w:rPr>
        <w:t>–</w:t>
      </w:r>
      <w:r w:rsidRPr="001663C4">
        <w:rPr>
          <w:rFonts w:asciiTheme="minorHAnsi" w:hAnsiTheme="minorHAnsi" w:cstheme="minorHAnsi"/>
          <w:b w:val="0"/>
          <w:bCs/>
          <w:i/>
          <w:iCs/>
          <w:color w:val="000000" w:themeColor="text1"/>
          <w:sz w:val="24"/>
          <w:szCs w:val="24"/>
          <w:lang w:val="en-GB"/>
        </w:rPr>
        <w:t xml:space="preserve"> </w:t>
      </w:r>
      <w:r w:rsidRPr="001663C4">
        <w:rPr>
          <w:rFonts w:asciiTheme="minorHAnsi" w:hAnsiTheme="minorHAnsi" w:cstheme="minorHAnsi"/>
          <w:b w:val="0"/>
          <w:bCs/>
          <w:color w:val="000000" w:themeColor="text1"/>
          <w:sz w:val="24"/>
          <w:szCs w:val="24"/>
          <w:lang w:val="en-GB"/>
        </w:rPr>
        <w:t xml:space="preserve">a specific social network where struggle occurs for dominance by a particular group to improve their standing and ensure their group’s survival (Bourdieu, 1998). These fields are hierarchically structured, and within them individuals are engaged in a continuous struggle for power, with success based on both inherited and acquired </w:t>
      </w:r>
      <w:r w:rsidRPr="001663C4">
        <w:rPr>
          <w:rFonts w:asciiTheme="minorHAnsi" w:hAnsiTheme="minorHAnsi" w:cstheme="minorHAnsi"/>
          <w:b w:val="0"/>
          <w:bCs/>
          <w:i/>
          <w:iCs/>
          <w:color w:val="000000" w:themeColor="text1"/>
          <w:sz w:val="24"/>
          <w:szCs w:val="24"/>
          <w:lang w:val="en-GB"/>
        </w:rPr>
        <w:t>capital</w:t>
      </w:r>
      <w:r w:rsidRPr="001663C4">
        <w:rPr>
          <w:rFonts w:asciiTheme="minorHAnsi" w:hAnsiTheme="minorHAnsi" w:cstheme="minorHAnsi"/>
          <w:b w:val="0"/>
          <w:bCs/>
          <w:color w:val="000000" w:themeColor="text1"/>
          <w:sz w:val="24"/>
          <w:szCs w:val="24"/>
          <w:lang w:val="en-GB"/>
        </w:rPr>
        <w:t xml:space="preserve"> (Garnham and Williams, 1980). Areas of capital, according to Bourdieu and Wacquant (1992), can be economic, cultural, social and symbolic, and only exist in a certain way within a particular field.</w:t>
      </w:r>
    </w:p>
    <w:p w14:paraId="4FAD526C"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Taking the field of social work research in the UK, it can be argued that academic institutions and their academic researchers dominate the possession of capital:</w:t>
      </w:r>
    </w:p>
    <w:p w14:paraId="473FC97C" w14:textId="77777777" w:rsidR="00AF597F" w:rsidRPr="001663C4" w:rsidRDefault="00AF597F" w:rsidP="00AF597F">
      <w:pPr>
        <w:pStyle w:val="ListParagraph"/>
        <w:numPr>
          <w:ilvl w:val="0"/>
          <w:numId w:val="2"/>
        </w:num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Economic capital – HEIs have more access to funding for research. Good outputs in UK’s REF means status and even more access to funding.</w:t>
      </w:r>
    </w:p>
    <w:p w14:paraId="75216220" w14:textId="77777777" w:rsidR="00AF597F" w:rsidRPr="001663C4" w:rsidRDefault="00AF597F" w:rsidP="00AF597F">
      <w:pPr>
        <w:pStyle w:val="ListParagraph"/>
        <w:numPr>
          <w:ilvl w:val="0"/>
          <w:numId w:val="2"/>
        </w:num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Cultural capital – those based within academic social work research environments have more access to further educational qualifications.</w:t>
      </w:r>
    </w:p>
    <w:p w14:paraId="1CBE5BCA" w14:textId="77777777" w:rsidR="00AF597F" w:rsidRPr="001663C4" w:rsidRDefault="00AF597F" w:rsidP="00AF597F">
      <w:pPr>
        <w:pStyle w:val="ListParagraph"/>
        <w:numPr>
          <w:ilvl w:val="0"/>
          <w:numId w:val="2"/>
        </w:num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Social capital – academic social work researchers can access more networks, such as international conferences.</w:t>
      </w:r>
    </w:p>
    <w:p w14:paraId="4DD41917" w14:textId="77777777" w:rsidR="00AF597F" w:rsidRPr="001663C4" w:rsidRDefault="00AF597F" w:rsidP="00AF597F">
      <w:pPr>
        <w:pStyle w:val="ListParagraph"/>
        <w:numPr>
          <w:ilvl w:val="0"/>
          <w:numId w:val="2"/>
        </w:num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Symbolic capital – academic social work research is perceived as ‘legitimate’ social work research and its language is intellectualised.</w:t>
      </w:r>
    </w:p>
    <w:p w14:paraId="5CD376D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In applying Bourdieu, we can see the field of social work research as dominated by academic discourse, and this dominance is constantly reinforced through greater access to economic, social, cultural and symbolic capital. As suggested by </w:t>
      </w: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(2011b) and highlighted by </w:t>
      </w:r>
      <w:proofErr w:type="spellStart"/>
      <w:r w:rsidRPr="001663C4">
        <w:rPr>
          <w:rFonts w:asciiTheme="minorHAnsi" w:hAnsiTheme="minorHAnsi" w:cstheme="minorHAnsi"/>
          <w:b w:val="0"/>
          <w:bCs/>
          <w:color w:val="000000" w:themeColor="text1"/>
          <w:sz w:val="24"/>
          <w:szCs w:val="24"/>
          <w:lang w:val="en-GB"/>
        </w:rPr>
        <w:t>Kwong</w:t>
      </w:r>
      <w:proofErr w:type="spellEnd"/>
      <w:r w:rsidRPr="001663C4">
        <w:rPr>
          <w:rFonts w:asciiTheme="minorHAnsi" w:hAnsiTheme="minorHAnsi" w:cstheme="minorHAnsi"/>
          <w:b w:val="0"/>
          <w:bCs/>
          <w:color w:val="000000" w:themeColor="text1"/>
          <w:sz w:val="24"/>
          <w:szCs w:val="24"/>
          <w:lang w:val="en-GB"/>
        </w:rPr>
        <w:t xml:space="preserve"> (2017), endeavours have taken place to protect and maintain the research of social work as an academic discipline; thus, </w:t>
      </w:r>
      <w:r w:rsidRPr="001663C4">
        <w:rPr>
          <w:rFonts w:asciiTheme="minorHAnsi" w:hAnsiTheme="minorHAnsi" w:cstheme="minorHAnsi"/>
          <w:b w:val="0"/>
          <w:bCs/>
          <w:i/>
          <w:iCs/>
          <w:color w:val="000000" w:themeColor="text1"/>
          <w:sz w:val="24"/>
          <w:szCs w:val="24"/>
          <w:lang w:val="en-GB"/>
        </w:rPr>
        <w:t>social work research</w:t>
      </w:r>
      <w:r w:rsidRPr="001663C4">
        <w:rPr>
          <w:rFonts w:asciiTheme="minorHAnsi" w:hAnsiTheme="minorHAnsi" w:cstheme="minorHAnsi"/>
          <w:b w:val="0"/>
          <w:bCs/>
          <w:color w:val="000000" w:themeColor="text1"/>
          <w:sz w:val="24"/>
          <w:szCs w:val="24"/>
          <w:lang w:val="en-GB"/>
        </w:rPr>
        <w:t xml:space="preserve"> could be seen as something conducted by those in academic institutions, with doctorates etc., and not necessarily by practitioners. Because of the symbolic capital of what will be referred to in what follows as </w:t>
      </w:r>
      <w:r w:rsidRPr="001663C4">
        <w:rPr>
          <w:rFonts w:asciiTheme="minorHAnsi" w:hAnsiTheme="minorHAnsi" w:cstheme="minorHAnsi"/>
          <w:b w:val="0"/>
          <w:bCs/>
          <w:i/>
          <w:iCs/>
          <w:color w:val="000000" w:themeColor="text1"/>
          <w:sz w:val="24"/>
          <w:szCs w:val="24"/>
          <w:lang w:val="en-GB"/>
        </w:rPr>
        <w:t>academic</w:t>
      </w:r>
      <w:r w:rsidRPr="001663C4">
        <w:rPr>
          <w:rFonts w:asciiTheme="minorHAnsi" w:hAnsiTheme="minorHAnsi" w:cstheme="minorHAnsi"/>
          <w:b w:val="0"/>
          <w:bCs/>
          <w:color w:val="000000" w:themeColor="text1"/>
          <w:sz w:val="24"/>
          <w:szCs w:val="24"/>
          <w:lang w:val="en-GB"/>
        </w:rPr>
        <w:t xml:space="preserve"> social work research, this continues to reinforce all the other capital advantages. This symbolic capital is evident in the intellectualisation of language within academia, something Bourdieu (1992) refers to as ‘linguistic habitus’ (p.37). So those who possess what is seen as the </w:t>
      </w:r>
      <w:r w:rsidRPr="001663C4">
        <w:rPr>
          <w:rFonts w:asciiTheme="minorHAnsi" w:hAnsiTheme="minorHAnsi" w:cstheme="minorHAnsi"/>
          <w:b w:val="0"/>
          <w:bCs/>
          <w:i/>
          <w:iCs/>
          <w:color w:val="000000" w:themeColor="text1"/>
          <w:sz w:val="24"/>
          <w:szCs w:val="24"/>
          <w:lang w:val="en-GB"/>
        </w:rPr>
        <w:t>right symbolic capital</w:t>
      </w:r>
      <w:r w:rsidRPr="001663C4">
        <w:rPr>
          <w:rFonts w:asciiTheme="minorHAnsi" w:hAnsiTheme="minorHAnsi" w:cstheme="minorHAnsi"/>
          <w:b w:val="0"/>
          <w:bCs/>
          <w:color w:val="000000" w:themeColor="text1"/>
          <w:sz w:val="24"/>
          <w:szCs w:val="24"/>
          <w:lang w:val="en-GB"/>
        </w:rPr>
        <w:t xml:space="preserve"> in effect judge those who do not (Bourdieu, 1989). Social work students and practitioners are therefore </w:t>
      </w:r>
      <w:r w:rsidRPr="001663C4">
        <w:rPr>
          <w:rFonts w:asciiTheme="minorHAnsi" w:hAnsiTheme="minorHAnsi" w:cstheme="minorHAnsi"/>
          <w:b w:val="0"/>
          <w:bCs/>
          <w:color w:val="000000" w:themeColor="text1"/>
          <w:sz w:val="24"/>
          <w:szCs w:val="24"/>
          <w:lang w:val="en-GB"/>
        </w:rPr>
        <w:lastRenderedPageBreak/>
        <w:t xml:space="preserve">socialised into believing they do not have the right symbolic capital, and therefore habituate research anxiety into themselves – that research is something separate, is not related to practice, and is something to fear. Through habitus, field and the nature of how capitals operate, social work students internalise this belief that because social work research and social work practice are separate, they are practitioners and therefore </w:t>
      </w:r>
      <w:r w:rsidRPr="001663C4">
        <w:rPr>
          <w:rFonts w:asciiTheme="minorHAnsi" w:hAnsiTheme="minorHAnsi" w:cstheme="minorHAnsi"/>
          <w:b w:val="0"/>
          <w:bCs/>
          <w:i/>
          <w:iCs/>
          <w:color w:val="000000" w:themeColor="text1"/>
          <w:sz w:val="24"/>
          <w:szCs w:val="24"/>
          <w:lang w:val="en-GB"/>
        </w:rPr>
        <w:t>not researchers</w:t>
      </w:r>
      <w:r w:rsidRPr="001663C4">
        <w:rPr>
          <w:rFonts w:asciiTheme="minorHAnsi" w:hAnsiTheme="minorHAnsi" w:cstheme="minorHAnsi"/>
          <w:b w:val="0"/>
          <w:bCs/>
          <w:color w:val="000000" w:themeColor="text1"/>
          <w:sz w:val="24"/>
          <w:szCs w:val="24"/>
          <w:lang w:val="en-GB"/>
        </w:rPr>
        <w:t xml:space="preserve">. They are both influenced by and influence the field, thus the field of </w:t>
      </w:r>
      <w:r w:rsidRPr="001663C4">
        <w:rPr>
          <w:rFonts w:asciiTheme="minorHAnsi" w:hAnsiTheme="minorHAnsi" w:cstheme="minorHAnsi"/>
          <w:b w:val="0"/>
          <w:bCs/>
          <w:i/>
          <w:iCs/>
          <w:color w:val="000000" w:themeColor="text1"/>
          <w:sz w:val="24"/>
          <w:szCs w:val="24"/>
          <w:lang w:val="en-GB"/>
        </w:rPr>
        <w:t xml:space="preserve">academic </w:t>
      </w:r>
      <w:r w:rsidRPr="001663C4">
        <w:rPr>
          <w:rFonts w:asciiTheme="minorHAnsi" w:hAnsiTheme="minorHAnsi" w:cstheme="minorHAnsi"/>
          <w:b w:val="0"/>
          <w:bCs/>
          <w:color w:val="000000" w:themeColor="text1"/>
          <w:sz w:val="24"/>
          <w:szCs w:val="24"/>
          <w:lang w:val="en-GB"/>
        </w:rPr>
        <w:t>social work research positions them as not</w:t>
      </w:r>
      <w:r w:rsidRPr="001663C4">
        <w:rPr>
          <w:rFonts w:asciiTheme="minorHAnsi" w:hAnsiTheme="minorHAnsi" w:cstheme="minorHAnsi"/>
          <w:b w:val="0"/>
          <w:bCs/>
          <w:i/>
          <w:iCs/>
          <w:color w:val="000000" w:themeColor="text1"/>
          <w:sz w:val="24"/>
          <w:szCs w:val="24"/>
          <w:lang w:val="en-GB"/>
        </w:rPr>
        <w:t xml:space="preserve"> </w:t>
      </w:r>
      <w:r w:rsidRPr="001663C4">
        <w:rPr>
          <w:rFonts w:asciiTheme="minorHAnsi" w:hAnsiTheme="minorHAnsi" w:cstheme="minorHAnsi"/>
          <w:b w:val="0"/>
          <w:bCs/>
          <w:color w:val="000000" w:themeColor="text1"/>
          <w:sz w:val="24"/>
          <w:szCs w:val="24"/>
          <w:lang w:val="en-GB"/>
        </w:rPr>
        <w:t xml:space="preserve">researchers, and they also position </w:t>
      </w:r>
      <w:r w:rsidRPr="001663C4">
        <w:rPr>
          <w:rFonts w:asciiTheme="minorHAnsi" w:hAnsiTheme="minorHAnsi" w:cstheme="minorHAnsi"/>
          <w:b w:val="0"/>
          <w:bCs/>
          <w:i/>
          <w:iCs/>
          <w:color w:val="000000" w:themeColor="text1"/>
          <w:sz w:val="24"/>
          <w:szCs w:val="24"/>
          <w:lang w:val="en-GB"/>
        </w:rPr>
        <w:t>themselves</w:t>
      </w:r>
      <w:r w:rsidRPr="001663C4">
        <w:rPr>
          <w:rFonts w:asciiTheme="minorHAnsi" w:hAnsiTheme="minorHAnsi" w:cstheme="minorHAnsi"/>
          <w:b w:val="0"/>
          <w:bCs/>
          <w:color w:val="000000" w:themeColor="text1"/>
          <w:sz w:val="24"/>
          <w:szCs w:val="24"/>
          <w:lang w:val="en-GB"/>
        </w:rPr>
        <w:t xml:space="preserve"> as not researchers. So, in effect, </w:t>
      </w:r>
      <w:proofErr w:type="gramStart"/>
      <w:r w:rsidRPr="001663C4">
        <w:rPr>
          <w:rFonts w:asciiTheme="minorHAnsi" w:hAnsiTheme="minorHAnsi" w:cstheme="minorHAnsi"/>
          <w:b w:val="0"/>
          <w:bCs/>
          <w:color w:val="000000" w:themeColor="text1"/>
          <w:sz w:val="24"/>
          <w:szCs w:val="24"/>
          <w:lang w:val="en-GB"/>
        </w:rPr>
        <w:t>this disadvantages</w:t>
      </w:r>
      <w:proofErr w:type="gramEnd"/>
      <w:r w:rsidRPr="001663C4">
        <w:rPr>
          <w:rFonts w:asciiTheme="minorHAnsi" w:hAnsiTheme="minorHAnsi" w:cstheme="minorHAnsi"/>
          <w:b w:val="0"/>
          <w:bCs/>
          <w:color w:val="000000" w:themeColor="text1"/>
          <w:sz w:val="24"/>
          <w:szCs w:val="24"/>
          <w:lang w:val="en-GB"/>
        </w:rPr>
        <w:t xml:space="preserve"> and disengages social work students and practitioners. </w:t>
      </w:r>
    </w:p>
    <w:p w14:paraId="37834776"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This is not, however, conceptualised as a conscious strategy on the part of </w:t>
      </w:r>
      <w:r w:rsidRPr="001663C4">
        <w:rPr>
          <w:rFonts w:asciiTheme="minorHAnsi" w:hAnsiTheme="minorHAnsi" w:cstheme="minorHAnsi"/>
          <w:b w:val="0"/>
          <w:bCs/>
          <w:i/>
          <w:iCs/>
          <w:color w:val="000000" w:themeColor="text1"/>
          <w:sz w:val="24"/>
          <w:szCs w:val="24"/>
          <w:lang w:val="en-GB"/>
        </w:rPr>
        <w:t>academic</w:t>
      </w:r>
      <w:r w:rsidRPr="001663C4">
        <w:rPr>
          <w:rFonts w:asciiTheme="minorHAnsi" w:hAnsiTheme="minorHAnsi" w:cstheme="minorHAnsi"/>
          <w:b w:val="0"/>
          <w:bCs/>
          <w:color w:val="000000" w:themeColor="text1"/>
          <w:sz w:val="24"/>
          <w:szCs w:val="24"/>
          <w:lang w:val="en-GB"/>
        </w:rPr>
        <w:t xml:space="preserve"> social work </w:t>
      </w:r>
      <w:proofErr w:type="gramStart"/>
      <w:r w:rsidRPr="001663C4">
        <w:rPr>
          <w:rFonts w:asciiTheme="minorHAnsi" w:hAnsiTheme="minorHAnsi" w:cstheme="minorHAnsi"/>
          <w:b w:val="0"/>
          <w:bCs/>
          <w:color w:val="000000" w:themeColor="text1"/>
          <w:sz w:val="24"/>
          <w:szCs w:val="24"/>
          <w:lang w:val="en-GB"/>
        </w:rPr>
        <w:t>research;  it</w:t>
      </w:r>
      <w:proofErr w:type="gramEnd"/>
      <w:r w:rsidRPr="001663C4">
        <w:rPr>
          <w:rFonts w:asciiTheme="minorHAnsi" w:hAnsiTheme="minorHAnsi" w:cstheme="minorHAnsi"/>
          <w:b w:val="0"/>
          <w:bCs/>
          <w:color w:val="000000" w:themeColor="text1"/>
          <w:sz w:val="24"/>
          <w:szCs w:val="24"/>
          <w:lang w:val="en-GB"/>
        </w:rPr>
        <w:t xml:space="preserve"> is posited that these are unconscious, unintended and unexamined actions, something Bourdieu refers to as ‘doxa’ (Inglis and Hughson, 2003 p.167). By not challenging the discourse that separates research and practice, solutions (such as SWPR, it is argued) can still unconsciously reinforce the symbolic power of </w:t>
      </w:r>
      <w:r w:rsidRPr="001663C4">
        <w:rPr>
          <w:rFonts w:asciiTheme="minorHAnsi" w:hAnsiTheme="minorHAnsi" w:cstheme="minorHAnsi"/>
          <w:b w:val="0"/>
          <w:bCs/>
          <w:i/>
          <w:iCs/>
          <w:color w:val="000000" w:themeColor="text1"/>
          <w:sz w:val="24"/>
          <w:szCs w:val="24"/>
          <w:lang w:val="en-GB"/>
        </w:rPr>
        <w:t>academic</w:t>
      </w:r>
      <w:r w:rsidRPr="001663C4">
        <w:rPr>
          <w:rFonts w:asciiTheme="minorHAnsi" w:hAnsiTheme="minorHAnsi" w:cstheme="minorHAnsi"/>
          <w:b w:val="0"/>
          <w:bCs/>
          <w:color w:val="000000" w:themeColor="text1"/>
          <w:sz w:val="24"/>
          <w:szCs w:val="24"/>
          <w:lang w:val="en-GB"/>
        </w:rPr>
        <w:t xml:space="preserve"> social work research, through identifying certain people as </w:t>
      </w:r>
      <w:r w:rsidRPr="001663C4">
        <w:rPr>
          <w:rFonts w:asciiTheme="minorHAnsi" w:hAnsiTheme="minorHAnsi" w:cstheme="minorHAnsi"/>
          <w:b w:val="0"/>
          <w:bCs/>
          <w:i/>
          <w:iCs/>
          <w:color w:val="000000" w:themeColor="text1"/>
          <w:sz w:val="24"/>
          <w:szCs w:val="24"/>
          <w:lang w:val="en-GB"/>
        </w:rPr>
        <w:t>researchers</w:t>
      </w:r>
      <w:r w:rsidRPr="001663C4">
        <w:rPr>
          <w:rFonts w:asciiTheme="minorHAnsi" w:hAnsiTheme="minorHAnsi" w:cstheme="minorHAnsi"/>
          <w:b w:val="0"/>
          <w:bCs/>
          <w:color w:val="000000" w:themeColor="text1"/>
          <w:sz w:val="24"/>
          <w:szCs w:val="24"/>
          <w:lang w:val="en-GB"/>
        </w:rPr>
        <w:t xml:space="preserve"> (i.e. those within academic settings, with academic qualifications and approaches) and others as </w:t>
      </w:r>
      <w:r w:rsidRPr="001663C4">
        <w:rPr>
          <w:rFonts w:asciiTheme="minorHAnsi" w:hAnsiTheme="minorHAnsi" w:cstheme="minorHAnsi"/>
          <w:b w:val="0"/>
          <w:bCs/>
          <w:i/>
          <w:iCs/>
          <w:color w:val="000000" w:themeColor="text1"/>
          <w:sz w:val="24"/>
          <w:szCs w:val="24"/>
          <w:lang w:val="en-GB"/>
        </w:rPr>
        <w:t>not</w:t>
      </w:r>
      <w:r w:rsidRPr="001663C4">
        <w:rPr>
          <w:rFonts w:asciiTheme="minorHAnsi" w:hAnsiTheme="minorHAnsi" w:cstheme="minorHAnsi"/>
          <w:b w:val="0"/>
          <w:bCs/>
          <w:color w:val="000000" w:themeColor="text1"/>
          <w:sz w:val="24"/>
          <w:szCs w:val="24"/>
          <w:lang w:val="en-GB"/>
        </w:rPr>
        <w:t xml:space="preserve"> (i.e. practitioners). So, unless this is challenged, it is argued that research anxiety in practitioners, which emerges through their learning and continues into their practice, is likely to remain.</w:t>
      </w:r>
    </w:p>
    <w:p w14:paraId="4259518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7799BC2C"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lang w:val="en-GB"/>
        </w:rPr>
      </w:pPr>
      <w:r w:rsidRPr="001663C4">
        <w:rPr>
          <w:rFonts w:asciiTheme="minorHAnsi" w:hAnsiTheme="minorHAnsi" w:cstheme="minorHAnsi"/>
          <w:b w:val="0"/>
          <w:bCs/>
          <w:i/>
          <w:iCs/>
          <w:color w:val="000000" w:themeColor="text1"/>
          <w:sz w:val="24"/>
          <w:szCs w:val="24"/>
          <w:lang w:val="en-GB"/>
        </w:rPr>
        <w:t>Practitioner Researchers</w:t>
      </w:r>
    </w:p>
    <w:p w14:paraId="5FD4E82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Whilst it is acknowledged that the </w:t>
      </w:r>
      <w:r w:rsidRPr="001663C4">
        <w:rPr>
          <w:rFonts w:asciiTheme="minorHAnsi" w:hAnsiTheme="minorHAnsi" w:cstheme="minorHAnsi"/>
          <w:b w:val="0"/>
          <w:bCs/>
          <w:i/>
          <w:iCs/>
          <w:color w:val="000000" w:themeColor="text1"/>
          <w:sz w:val="24"/>
          <w:szCs w:val="24"/>
          <w:lang w:val="en-GB"/>
        </w:rPr>
        <w:t>primary</w:t>
      </w:r>
      <w:r w:rsidRPr="001663C4">
        <w:rPr>
          <w:rFonts w:asciiTheme="minorHAnsi" w:hAnsiTheme="minorHAnsi" w:cstheme="minorHAnsi"/>
          <w:b w:val="0"/>
          <w:bCs/>
          <w:color w:val="000000" w:themeColor="text1"/>
          <w:sz w:val="24"/>
          <w:szCs w:val="24"/>
          <w:lang w:val="en-GB"/>
        </w:rPr>
        <w:t xml:space="preserve"> role of a social work practitioner is in service provision, ensuring practice is research-informed does not mean that practitioners cannot also conduct research themselves. A </w:t>
      </w:r>
      <w:r w:rsidRPr="001663C4">
        <w:rPr>
          <w:rFonts w:asciiTheme="minorHAnsi" w:hAnsiTheme="minorHAnsi" w:cstheme="minorHAnsi"/>
          <w:b w:val="0"/>
          <w:bCs/>
          <w:i/>
          <w:iCs/>
          <w:color w:val="000000" w:themeColor="text1"/>
          <w:sz w:val="24"/>
          <w:szCs w:val="24"/>
          <w:lang w:val="en-GB"/>
        </w:rPr>
        <w:t>Practitioner Researcher</w:t>
      </w:r>
      <w:r w:rsidRPr="001663C4">
        <w:rPr>
          <w:rFonts w:asciiTheme="minorHAnsi" w:hAnsiTheme="minorHAnsi" w:cstheme="minorHAnsi"/>
          <w:b w:val="0"/>
          <w:bCs/>
          <w:color w:val="000000" w:themeColor="text1"/>
          <w:sz w:val="24"/>
          <w:szCs w:val="24"/>
          <w:lang w:val="en-GB"/>
        </w:rPr>
        <w:t>, according to Flynn and McDermott (2016), is a ‘practitioner who undertake[s] research on or in their own practice’ (p.14). Practitioner Researchers identify relevant research questions that emerge from their day-to-day practice, and the Practitioner Researcher is positioned as the insider researcher. A significant benefit of this approach is that findings can be implemented into practice speedily.</w:t>
      </w:r>
    </w:p>
    <w:p w14:paraId="05DB304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When considering the skills and knowledge needed to be a </w:t>
      </w:r>
      <w:r w:rsidRPr="001663C4">
        <w:rPr>
          <w:rFonts w:asciiTheme="minorHAnsi" w:hAnsiTheme="minorHAnsi" w:cstheme="minorHAnsi"/>
          <w:b w:val="0"/>
          <w:bCs/>
          <w:i/>
          <w:iCs/>
          <w:color w:val="000000" w:themeColor="text1"/>
          <w:sz w:val="24"/>
          <w:szCs w:val="24"/>
          <w:lang w:val="en-GB"/>
        </w:rPr>
        <w:t xml:space="preserve">good </w:t>
      </w:r>
      <w:r w:rsidRPr="001663C4">
        <w:rPr>
          <w:rFonts w:asciiTheme="minorHAnsi" w:hAnsiTheme="minorHAnsi" w:cstheme="minorHAnsi"/>
          <w:b w:val="0"/>
          <w:bCs/>
          <w:color w:val="000000" w:themeColor="text1"/>
          <w:sz w:val="24"/>
          <w:szCs w:val="24"/>
          <w:lang w:val="en-GB"/>
        </w:rPr>
        <w:t xml:space="preserve">researcher, it can be argued that social work students and practitioners already </w:t>
      </w:r>
      <w:r w:rsidRPr="001663C4">
        <w:rPr>
          <w:rFonts w:asciiTheme="minorHAnsi" w:hAnsiTheme="minorHAnsi" w:cstheme="minorHAnsi"/>
          <w:b w:val="0"/>
          <w:bCs/>
          <w:i/>
          <w:iCs/>
          <w:color w:val="000000" w:themeColor="text1"/>
          <w:sz w:val="24"/>
          <w:szCs w:val="24"/>
          <w:lang w:val="en-GB"/>
        </w:rPr>
        <w:t>do</w:t>
      </w:r>
      <w:r w:rsidRPr="001663C4">
        <w:rPr>
          <w:rFonts w:asciiTheme="minorHAnsi" w:hAnsiTheme="minorHAnsi" w:cstheme="minorHAnsi"/>
          <w:b w:val="0"/>
          <w:bCs/>
          <w:color w:val="000000" w:themeColor="text1"/>
          <w:sz w:val="24"/>
          <w:szCs w:val="24"/>
          <w:lang w:val="en-GB"/>
        </w:rPr>
        <w:t xml:space="preserve"> possess these. The Researcher Development </w:t>
      </w:r>
      <w:r w:rsidRPr="001663C4">
        <w:rPr>
          <w:rFonts w:asciiTheme="minorHAnsi" w:hAnsiTheme="minorHAnsi" w:cstheme="minorHAnsi"/>
          <w:b w:val="0"/>
          <w:bCs/>
          <w:color w:val="000000" w:themeColor="text1"/>
          <w:sz w:val="24"/>
          <w:szCs w:val="24"/>
          <w:lang w:val="en-GB"/>
        </w:rPr>
        <w:lastRenderedPageBreak/>
        <w:t>Framework (RDF) in the UK was devised based on empirical data to highlight ‘what makes excellent researchers’ (</w:t>
      </w:r>
      <w:r w:rsidRPr="001663C4">
        <w:rPr>
          <w:rFonts w:asciiTheme="minorHAnsi" w:hAnsiTheme="minorHAnsi" w:cstheme="minorHAnsi"/>
          <w:b w:val="0"/>
          <w:bCs/>
          <w:i/>
          <w:iCs/>
          <w:color w:val="000000" w:themeColor="text1"/>
          <w:sz w:val="24"/>
          <w:szCs w:val="24"/>
          <w:lang w:val="en-GB"/>
        </w:rPr>
        <w:t>Vitae</w:t>
      </w:r>
      <w:r w:rsidRPr="001663C4">
        <w:rPr>
          <w:rFonts w:asciiTheme="minorHAnsi" w:hAnsiTheme="minorHAnsi" w:cstheme="minorHAnsi"/>
          <w:b w:val="0"/>
          <w:bCs/>
          <w:color w:val="000000" w:themeColor="text1"/>
          <w:sz w:val="24"/>
          <w:szCs w:val="24"/>
          <w:lang w:val="en-GB"/>
        </w:rPr>
        <w:t>, 2022 p.3.), and looking at the categories it is clear that what social work students and practitioners already know and do can be applied to most of them. For example, a practitioner’s ability to communicate with others, their high level of subject knowledge, their understanding of values and ethics, and their ability to assess and understand issues and devise plans are all skills that can be directly transferred to research. Something that has been highlighted in SWPR, however, with the dominant discourse still separating research and practice, is that social work students and practitioners do not easily make these links. This suggests therefore that Practitioner Researchers remain a relatively untapped resource in the field of social work research, so a model of empowerment is needed to facilitate the reframing of their cultural capital in order to gain access to their knowledge and experience.</w:t>
      </w:r>
    </w:p>
    <w:p w14:paraId="44D712C4"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09F7CB4A"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Developing a solution</w:t>
      </w:r>
    </w:p>
    <w:p w14:paraId="023E8072" w14:textId="1F03B81D"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The problem of research anxiety initially emerged through the author’s own lived experiences (Clark et al., 2021). </w:t>
      </w:r>
      <w:r w:rsidRPr="001663C4">
        <w:rPr>
          <w:rFonts w:asciiTheme="minorHAnsi" w:hAnsiTheme="minorHAnsi" w:cstheme="minorHAnsi"/>
          <w:b w:val="0"/>
          <w:bCs/>
          <w:color w:val="000000" w:themeColor="text1"/>
          <w:sz w:val="24"/>
          <w:szCs w:val="24"/>
        </w:rPr>
        <w:t>The author commenced working as a qualified social work practitioner in statutory child protection, whilst simultaneously conducting PhD research about an aspect of child protection (</w:t>
      </w:r>
      <w:r w:rsidR="000066E7" w:rsidRPr="001663C4">
        <w:rPr>
          <w:rFonts w:asciiTheme="minorHAnsi" w:hAnsiTheme="minorHAnsi" w:cstheme="minorHAnsi"/>
          <w:b w:val="0"/>
          <w:bCs/>
          <w:color w:val="000000" w:themeColor="text1"/>
          <w:sz w:val="24"/>
          <w:szCs w:val="24"/>
        </w:rPr>
        <w:t>Deacon</w:t>
      </w:r>
      <w:r w:rsidRPr="001663C4">
        <w:rPr>
          <w:rFonts w:asciiTheme="minorHAnsi" w:hAnsiTheme="minorHAnsi" w:cstheme="minorHAnsi"/>
          <w:b w:val="0"/>
          <w:bCs/>
          <w:color w:val="000000" w:themeColor="text1"/>
          <w:sz w:val="24"/>
          <w:szCs w:val="24"/>
        </w:rPr>
        <w:t xml:space="preserve">, 2015), so the tension between practice and research was lived through every day. </w:t>
      </w:r>
      <w:r w:rsidRPr="001663C4">
        <w:rPr>
          <w:rFonts w:asciiTheme="minorHAnsi" w:hAnsiTheme="minorHAnsi" w:cstheme="minorHAnsi"/>
          <w:b w:val="0"/>
          <w:bCs/>
          <w:color w:val="000000" w:themeColor="text1"/>
          <w:sz w:val="24"/>
          <w:szCs w:val="24"/>
          <w:lang w:val="en-GB"/>
        </w:rPr>
        <w:t>Some of the challenges that emerged concerned differences in such concepts as social work interviews versus research interviews, evidence and analysis in social work assessments versus evidence and analysis in research, and social work reports versus research dissemination. These highlighted epistemological differences in how these concepts were understood and acted upon, and in what determines ‘acceptable’ knowledge (Lorenz, 2003).  Through reflexivity, however, the author was able to observe these differences and adapt to the research environment.</w:t>
      </w:r>
    </w:p>
    <w:p w14:paraId="32D24F7C"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A post-doctoral opportunity arose for the author to work on a funded project to teach research skills to community practitioners so they could complete a research project. There were fifteen participants with qualifications ranging from none to Masters level, so a short research programme needed to be devised that ensured it was accessible to all. </w:t>
      </w:r>
      <w:proofErr w:type="gramStart"/>
      <w:r w:rsidRPr="001663C4">
        <w:rPr>
          <w:rFonts w:asciiTheme="minorHAnsi" w:hAnsiTheme="minorHAnsi" w:cstheme="minorHAnsi"/>
          <w:b w:val="0"/>
          <w:bCs/>
          <w:color w:val="000000" w:themeColor="text1"/>
          <w:sz w:val="24"/>
          <w:szCs w:val="24"/>
        </w:rPr>
        <w:t>Therefore</w:t>
      </w:r>
      <w:proofErr w:type="gramEnd"/>
      <w:r w:rsidRPr="001663C4">
        <w:rPr>
          <w:rFonts w:asciiTheme="minorHAnsi" w:hAnsiTheme="minorHAnsi" w:cstheme="minorHAnsi"/>
          <w:b w:val="0"/>
          <w:bCs/>
          <w:color w:val="000000" w:themeColor="text1"/>
          <w:sz w:val="24"/>
          <w:szCs w:val="24"/>
        </w:rPr>
        <w:t xml:space="preserve"> research </w:t>
      </w:r>
      <w:r w:rsidRPr="001663C4">
        <w:rPr>
          <w:rFonts w:asciiTheme="minorHAnsi" w:hAnsiTheme="minorHAnsi" w:cstheme="minorHAnsi"/>
          <w:b w:val="0"/>
          <w:bCs/>
          <w:color w:val="000000" w:themeColor="text1"/>
          <w:sz w:val="24"/>
          <w:szCs w:val="24"/>
        </w:rPr>
        <w:lastRenderedPageBreak/>
        <w:t xml:space="preserve">terminology was </w:t>
      </w:r>
      <w:proofErr w:type="spellStart"/>
      <w:r w:rsidRPr="001663C4">
        <w:rPr>
          <w:rFonts w:asciiTheme="minorHAnsi" w:hAnsiTheme="minorHAnsi" w:cstheme="minorHAnsi"/>
          <w:b w:val="0"/>
          <w:bCs/>
          <w:color w:val="000000" w:themeColor="text1"/>
          <w:sz w:val="24"/>
          <w:szCs w:val="24"/>
        </w:rPr>
        <w:t>minimised</w:t>
      </w:r>
      <w:proofErr w:type="spellEnd"/>
      <w:r w:rsidRPr="001663C4">
        <w:rPr>
          <w:rFonts w:asciiTheme="minorHAnsi" w:hAnsiTheme="minorHAnsi" w:cstheme="minorHAnsi"/>
          <w:b w:val="0"/>
          <w:bCs/>
          <w:color w:val="000000" w:themeColor="text1"/>
          <w:sz w:val="24"/>
          <w:szCs w:val="24"/>
        </w:rPr>
        <w:t xml:space="preserve"> (removing the </w:t>
      </w:r>
      <w:r w:rsidRPr="001663C4">
        <w:rPr>
          <w:rFonts w:asciiTheme="minorHAnsi" w:hAnsiTheme="minorHAnsi" w:cstheme="minorHAnsi"/>
          <w:b w:val="0"/>
          <w:bCs/>
          <w:i/>
          <w:iCs/>
          <w:color w:val="000000" w:themeColor="text1"/>
          <w:sz w:val="24"/>
          <w:szCs w:val="24"/>
        </w:rPr>
        <w:t>linguistic habitus</w:t>
      </w:r>
      <w:r w:rsidRPr="001663C4">
        <w:rPr>
          <w:rFonts w:asciiTheme="minorHAnsi" w:hAnsiTheme="minorHAnsi" w:cstheme="minorHAnsi"/>
          <w:b w:val="0"/>
          <w:bCs/>
          <w:color w:val="000000" w:themeColor="text1"/>
          <w:sz w:val="24"/>
          <w:szCs w:val="24"/>
        </w:rPr>
        <w:t xml:space="preserve"> of research), whilst core concepts remained. The programme took place within an HEI, so the community practitioners came into the university setting for the teaching input. This research eventually led to dissemination through three journal articles, two stakeholder presentations and one research seminar presentation. However, this project still reinforced the positionality and status of the </w:t>
      </w:r>
      <w:r w:rsidRPr="001663C4">
        <w:rPr>
          <w:rFonts w:asciiTheme="minorHAnsi" w:hAnsiTheme="minorHAnsi" w:cstheme="minorHAnsi"/>
          <w:b w:val="0"/>
          <w:bCs/>
          <w:i/>
          <w:iCs/>
          <w:color w:val="000000" w:themeColor="text1"/>
          <w:sz w:val="24"/>
          <w:szCs w:val="24"/>
        </w:rPr>
        <w:t>academic</w:t>
      </w:r>
      <w:r w:rsidRPr="001663C4">
        <w:rPr>
          <w:rFonts w:asciiTheme="minorHAnsi" w:hAnsiTheme="minorHAnsi" w:cstheme="minorHAnsi"/>
          <w:b w:val="0"/>
          <w:bCs/>
          <w:color w:val="000000" w:themeColor="text1"/>
          <w:sz w:val="24"/>
          <w:szCs w:val="24"/>
        </w:rPr>
        <w:t xml:space="preserve"> researchers, so whilst it was about working in partnership with others, this was not necessarily an </w:t>
      </w:r>
      <w:r w:rsidRPr="001663C4">
        <w:rPr>
          <w:rFonts w:asciiTheme="minorHAnsi" w:hAnsiTheme="minorHAnsi" w:cstheme="minorHAnsi"/>
          <w:b w:val="0"/>
          <w:bCs/>
          <w:i/>
          <w:iCs/>
          <w:color w:val="000000" w:themeColor="text1"/>
          <w:sz w:val="24"/>
          <w:szCs w:val="24"/>
        </w:rPr>
        <w:t>equal</w:t>
      </w:r>
      <w:r w:rsidRPr="001663C4">
        <w:rPr>
          <w:rFonts w:asciiTheme="minorHAnsi" w:hAnsiTheme="minorHAnsi" w:cstheme="minorHAnsi"/>
          <w:b w:val="0"/>
          <w:bCs/>
          <w:color w:val="000000" w:themeColor="text1"/>
          <w:sz w:val="24"/>
          <w:szCs w:val="24"/>
        </w:rPr>
        <w:t xml:space="preserve"> partnership in terms of the symbolic power – the academic researchers, in effect, led the project.</w:t>
      </w:r>
      <w:r w:rsidRPr="001663C4">
        <w:rPr>
          <w:rFonts w:asciiTheme="minorHAnsi" w:hAnsiTheme="minorHAnsi" w:cstheme="minorHAnsi"/>
          <w:b w:val="0"/>
          <w:bCs/>
          <w:color w:val="000000" w:themeColor="text1"/>
          <w:sz w:val="24"/>
          <w:szCs w:val="24"/>
          <w:lang w:val="en-GB"/>
        </w:rPr>
        <w:t xml:space="preserve"> </w:t>
      </w:r>
      <w:r w:rsidRPr="001663C4">
        <w:rPr>
          <w:rFonts w:asciiTheme="minorHAnsi" w:hAnsiTheme="minorHAnsi" w:cstheme="minorHAnsi"/>
          <w:b w:val="0"/>
          <w:bCs/>
          <w:color w:val="000000" w:themeColor="text1"/>
          <w:sz w:val="24"/>
          <w:szCs w:val="24"/>
        </w:rPr>
        <w:t>Thus, this added to the author’s post-doctoral focus on bridging this gap, challenging the barriers between research and practice and how they are managed.</w:t>
      </w:r>
    </w:p>
    <w:p w14:paraId="4940191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In 2019, the author was approached by a local charity organisation working with families and other stakeholders in North-East England, which has seen an increase in relative child poverty (highest in the country, according to the North-East Child Poverty Commission, 2021). The aim was to develop the research capacity of two community practitioners to conduct a community research project, and to support the emergence of a research culture in that organisation. In addition to the </w:t>
      </w:r>
      <w:proofErr w:type="spellStart"/>
      <w:r w:rsidRPr="001663C4">
        <w:rPr>
          <w:rFonts w:asciiTheme="minorHAnsi" w:hAnsiTheme="minorHAnsi" w:cstheme="minorHAnsi"/>
          <w:b w:val="0"/>
          <w:bCs/>
          <w:color w:val="000000" w:themeColor="text1"/>
          <w:sz w:val="24"/>
          <w:szCs w:val="24"/>
        </w:rPr>
        <w:t>organisation’s</w:t>
      </w:r>
      <w:proofErr w:type="spellEnd"/>
      <w:r w:rsidRPr="001663C4">
        <w:rPr>
          <w:rFonts w:asciiTheme="minorHAnsi" w:hAnsiTheme="minorHAnsi" w:cstheme="minorHAnsi"/>
          <w:b w:val="0"/>
          <w:bCs/>
          <w:color w:val="000000" w:themeColor="text1"/>
          <w:sz w:val="24"/>
          <w:szCs w:val="24"/>
        </w:rPr>
        <w:t xml:space="preserve"> research, the author and the practitioners collaborated in </w:t>
      </w:r>
      <w:proofErr w:type="spellStart"/>
      <w:r w:rsidRPr="001663C4">
        <w:rPr>
          <w:rFonts w:asciiTheme="minorHAnsi" w:hAnsiTheme="minorHAnsi" w:cstheme="minorHAnsi"/>
          <w:b w:val="0"/>
          <w:bCs/>
          <w:color w:val="000000" w:themeColor="text1"/>
          <w:sz w:val="24"/>
          <w:szCs w:val="24"/>
        </w:rPr>
        <w:t>thhe</w:t>
      </w:r>
      <w:proofErr w:type="spellEnd"/>
      <w:r w:rsidRPr="001663C4">
        <w:rPr>
          <w:rFonts w:asciiTheme="minorHAnsi" w:hAnsiTheme="minorHAnsi" w:cstheme="minorHAnsi"/>
          <w:b w:val="0"/>
          <w:bCs/>
          <w:color w:val="000000" w:themeColor="text1"/>
          <w:sz w:val="24"/>
          <w:szCs w:val="24"/>
        </w:rPr>
        <w:t xml:space="preserve"> PAR project (McIntyre 2007), focusing on the gap between social work research and practice. The author’s developing research programme was implemented and then reflected on as a potential solution. Following the completion of the programme, the practitioners engaged in focus groups reflecting on the effectiveness of the programme. This has continued, and </w:t>
      </w:r>
      <w:proofErr w:type="gramStart"/>
      <w:r w:rsidRPr="001663C4">
        <w:rPr>
          <w:rFonts w:asciiTheme="minorHAnsi" w:hAnsiTheme="minorHAnsi" w:cstheme="minorHAnsi"/>
          <w:b w:val="0"/>
          <w:bCs/>
          <w:color w:val="000000" w:themeColor="text1"/>
          <w:sz w:val="24"/>
          <w:szCs w:val="24"/>
        </w:rPr>
        <w:t>still continues</w:t>
      </w:r>
      <w:proofErr w:type="gramEnd"/>
      <w:r w:rsidRPr="001663C4">
        <w:rPr>
          <w:rFonts w:asciiTheme="minorHAnsi" w:hAnsiTheme="minorHAnsi" w:cstheme="minorHAnsi"/>
          <w:b w:val="0"/>
          <w:bCs/>
          <w:color w:val="000000" w:themeColor="text1"/>
          <w:sz w:val="24"/>
          <w:szCs w:val="24"/>
        </w:rPr>
        <w:t>, in collaboration with three further organisations: another charity organisation where the same programme was implemented (but conducted online due to COVID-19), and two Local Authorities where the approach has been adapted and is being tested to ensure it meets the specific needs of UK statutory organisations.</w:t>
      </w:r>
    </w:p>
    <w:p w14:paraId="3B109945"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06D4D233"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Facilitated Practice-based Research: an empowering solution</w:t>
      </w:r>
    </w:p>
    <w:p w14:paraId="2D9091B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rPr>
        <w:t xml:space="preserve">To respond to the issue and impact of research anxiety on practitioners, Facilitated Practice-based Research (FPR) has been co-developed by the author over the last five years, and tested, in action, at two organisations (the third and fourth </w:t>
      </w:r>
      <w:proofErr w:type="spellStart"/>
      <w:r w:rsidRPr="001663C4">
        <w:rPr>
          <w:rFonts w:asciiTheme="minorHAnsi" w:hAnsiTheme="minorHAnsi" w:cstheme="minorHAnsi"/>
          <w:b w:val="0"/>
          <w:bCs/>
          <w:color w:val="000000" w:themeColor="text1"/>
          <w:sz w:val="24"/>
          <w:szCs w:val="24"/>
        </w:rPr>
        <w:t>programmes</w:t>
      </w:r>
      <w:proofErr w:type="spellEnd"/>
      <w:r w:rsidRPr="001663C4">
        <w:rPr>
          <w:rFonts w:asciiTheme="minorHAnsi" w:hAnsiTheme="minorHAnsi" w:cstheme="minorHAnsi"/>
          <w:b w:val="0"/>
          <w:bCs/>
          <w:color w:val="000000" w:themeColor="text1"/>
          <w:sz w:val="24"/>
          <w:szCs w:val="24"/>
        </w:rPr>
        <w:t xml:space="preserve"> are still ongoing at the time of </w:t>
      </w:r>
      <w:r w:rsidRPr="001663C4">
        <w:rPr>
          <w:rFonts w:asciiTheme="minorHAnsi" w:hAnsiTheme="minorHAnsi" w:cstheme="minorHAnsi"/>
          <w:b w:val="0"/>
          <w:bCs/>
          <w:color w:val="000000" w:themeColor="text1"/>
          <w:sz w:val="24"/>
          <w:szCs w:val="24"/>
        </w:rPr>
        <w:lastRenderedPageBreak/>
        <w:t xml:space="preserve">writing). </w:t>
      </w:r>
      <w:r w:rsidRPr="001663C4">
        <w:rPr>
          <w:rFonts w:asciiTheme="minorHAnsi" w:hAnsiTheme="minorHAnsi" w:cstheme="minorHAnsi"/>
          <w:b w:val="0"/>
          <w:bCs/>
          <w:color w:val="000000" w:themeColor="text1"/>
          <w:sz w:val="24"/>
          <w:szCs w:val="24"/>
          <w:lang w:val="en-GB"/>
        </w:rPr>
        <w:t>FPR is an eclectic and interdisciplinary intensive research-mindedness programme for practitioners, facilitated by an academic-based practitioner researcher. Its aim is to facilitate practitioners to conduct a Practice Research project engaging in participatory research with service users, within a practice environment.</w:t>
      </w:r>
    </w:p>
    <w:p w14:paraId="1E340E1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The approach taken in this programme is to conceptualise key research principles in a way that makes sense to practitioners, considering the ontological and epistemological position of the profession, while maintaining and facilitating academic rigour by supporting practitioners, through action, to implement participatory research projects aimed at improving practice using creative methodologies. This approach is by no means a quick fix (</w:t>
      </w:r>
      <w:proofErr w:type="spellStart"/>
      <w:r w:rsidRPr="001663C4">
        <w:rPr>
          <w:rFonts w:asciiTheme="minorHAnsi" w:hAnsiTheme="minorHAnsi" w:cstheme="minorHAnsi"/>
          <w:b w:val="0"/>
          <w:bCs/>
          <w:color w:val="000000" w:themeColor="text1"/>
          <w:sz w:val="24"/>
          <w:szCs w:val="24"/>
          <w:lang w:val="en-GB"/>
        </w:rPr>
        <w:t>Heyns</w:t>
      </w:r>
      <w:proofErr w:type="spellEnd"/>
      <w:r w:rsidRPr="001663C4">
        <w:rPr>
          <w:rFonts w:asciiTheme="minorHAnsi" w:hAnsiTheme="minorHAnsi" w:cstheme="minorHAnsi"/>
          <w:b w:val="0"/>
          <w:bCs/>
          <w:color w:val="000000" w:themeColor="text1"/>
          <w:sz w:val="24"/>
          <w:szCs w:val="24"/>
          <w:lang w:val="en-GB"/>
        </w:rPr>
        <w:t xml:space="preserve"> et al., 2017), but is a way to achieve authentic collaboration between rigorous academic research and research by practitioners in order to improve practice. The aim is therefore to develop a new, sustainable research culture within organisations and in practitioners themselves by developing their research capacity, decreasing their research anxiety and reframing their capital, i.e. that they already have the skills and knowledge needed to conduct research.</w:t>
      </w:r>
    </w:p>
    <w:p w14:paraId="4E0DBA62" w14:textId="4EBB06DD"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This is achieved by first ensuring the programme takes place within the practice setting (or another setting chosen by the organisation) so that a high challenge, high support environment can be implemented to encourage reflexivity on how practice is received (</w:t>
      </w:r>
      <w:r w:rsidR="000066E7" w:rsidRPr="001663C4">
        <w:rPr>
          <w:rFonts w:asciiTheme="minorHAnsi" w:hAnsiTheme="minorHAnsi" w:cstheme="minorHAnsi"/>
          <w:b w:val="0"/>
          <w:bCs/>
          <w:color w:val="000000" w:themeColor="text1"/>
          <w:sz w:val="24"/>
          <w:szCs w:val="24"/>
          <w:lang w:val="en-GB"/>
        </w:rPr>
        <w:t>Deacon</w:t>
      </w:r>
      <w:r w:rsidRPr="001663C4">
        <w:rPr>
          <w:rFonts w:asciiTheme="minorHAnsi" w:hAnsiTheme="minorHAnsi" w:cstheme="minorHAnsi"/>
          <w:b w:val="0"/>
          <w:bCs/>
          <w:color w:val="000000" w:themeColor="text1"/>
          <w:sz w:val="24"/>
          <w:szCs w:val="24"/>
          <w:lang w:val="en-GB"/>
        </w:rPr>
        <w:t xml:space="preserve">, 2022). To address the issues already set out in this article, it is essential that practitioners are in a comfortable and familiar environment to begin the process. Reflexivity is something familiar to practitioners, through reflection learned in education and through practice supervision; thus, the programme begins in both a familiar physical (practice-based) and cognitive environment. </w:t>
      </w:r>
      <w:r w:rsidRPr="001663C4">
        <w:rPr>
          <w:rFonts w:asciiTheme="minorHAnsi" w:hAnsiTheme="minorHAnsi" w:cstheme="minorHAnsi"/>
          <w:b w:val="0"/>
          <w:bCs/>
          <w:color w:val="000000" w:themeColor="text1"/>
          <w:sz w:val="24"/>
          <w:szCs w:val="24"/>
        </w:rPr>
        <w:t xml:space="preserve">The quality of the relationship between practitioners and facilitator is crucial to this approach, as within a knowledge-exchange setting, positioning the practitioners as field experts means </w:t>
      </w:r>
      <w:r w:rsidRPr="001663C4">
        <w:rPr>
          <w:rFonts w:asciiTheme="minorHAnsi" w:hAnsiTheme="minorHAnsi" w:cstheme="minorHAnsi"/>
          <w:b w:val="0"/>
          <w:bCs/>
          <w:i/>
          <w:iCs/>
          <w:color w:val="000000" w:themeColor="text1"/>
          <w:sz w:val="24"/>
          <w:szCs w:val="24"/>
        </w:rPr>
        <w:t>their</w:t>
      </w:r>
      <w:r w:rsidRPr="001663C4">
        <w:rPr>
          <w:rFonts w:asciiTheme="minorHAnsi" w:hAnsiTheme="minorHAnsi" w:cstheme="minorHAnsi"/>
          <w:b w:val="0"/>
          <w:bCs/>
          <w:color w:val="000000" w:themeColor="text1"/>
          <w:sz w:val="24"/>
          <w:szCs w:val="24"/>
        </w:rPr>
        <w:t xml:space="preserve"> knowledge is sought by the facilitator.</w:t>
      </w:r>
    </w:p>
    <w:p w14:paraId="7FB4319E" w14:textId="7FBBBEAB"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Further cognitive familiarity is embedded by temporarily </w:t>
      </w:r>
      <w:r w:rsidRPr="001663C4">
        <w:rPr>
          <w:rFonts w:asciiTheme="minorHAnsi" w:hAnsiTheme="minorHAnsi" w:cstheme="minorHAnsi"/>
          <w:b w:val="0"/>
          <w:bCs/>
          <w:i/>
          <w:iCs/>
          <w:color w:val="000000" w:themeColor="text1"/>
          <w:sz w:val="24"/>
          <w:szCs w:val="24"/>
          <w:lang w:val="en-GB"/>
        </w:rPr>
        <w:t xml:space="preserve">minimising </w:t>
      </w:r>
      <w:r w:rsidRPr="001663C4">
        <w:rPr>
          <w:rFonts w:asciiTheme="minorHAnsi" w:hAnsiTheme="minorHAnsi" w:cstheme="minorHAnsi"/>
          <w:b w:val="0"/>
          <w:bCs/>
          <w:color w:val="000000" w:themeColor="text1"/>
          <w:sz w:val="24"/>
          <w:szCs w:val="24"/>
          <w:lang w:val="en-GB"/>
        </w:rPr>
        <w:t xml:space="preserve">research terminology. Practice epistemology is habituated in practitioners, which </w:t>
      </w:r>
      <w:proofErr w:type="spellStart"/>
      <w:r w:rsidRPr="001663C4">
        <w:rPr>
          <w:rFonts w:asciiTheme="minorHAnsi" w:hAnsiTheme="minorHAnsi" w:cstheme="minorHAnsi"/>
          <w:b w:val="0"/>
          <w:bCs/>
          <w:color w:val="000000" w:themeColor="text1"/>
          <w:sz w:val="24"/>
          <w:szCs w:val="24"/>
          <w:lang w:val="en-GB"/>
        </w:rPr>
        <w:t>Hothershall</w:t>
      </w:r>
      <w:proofErr w:type="spellEnd"/>
      <w:r w:rsidRPr="001663C4">
        <w:rPr>
          <w:rFonts w:asciiTheme="minorHAnsi" w:hAnsiTheme="minorHAnsi" w:cstheme="minorHAnsi"/>
          <w:b w:val="0"/>
          <w:bCs/>
          <w:color w:val="000000" w:themeColor="text1"/>
          <w:sz w:val="24"/>
          <w:szCs w:val="24"/>
          <w:lang w:val="en-GB"/>
        </w:rPr>
        <w:t xml:space="preserve"> (2016) relates to a pragmatism philosophical paradigm, in that practitioners focus on what </w:t>
      </w:r>
      <w:r w:rsidRPr="001663C4">
        <w:rPr>
          <w:rFonts w:asciiTheme="minorHAnsi" w:hAnsiTheme="minorHAnsi" w:cstheme="minorHAnsi"/>
          <w:b w:val="0"/>
          <w:bCs/>
          <w:i/>
          <w:iCs/>
          <w:color w:val="000000" w:themeColor="text1"/>
          <w:sz w:val="24"/>
          <w:szCs w:val="24"/>
          <w:lang w:val="en-GB"/>
        </w:rPr>
        <w:t xml:space="preserve">works </w:t>
      </w:r>
      <w:r w:rsidRPr="001663C4">
        <w:rPr>
          <w:rFonts w:asciiTheme="minorHAnsi" w:hAnsiTheme="minorHAnsi" w:cstheme="minorHAnsi"/>
          <w:b w:val="0"/>
          <w:bCs/>
          <w:color w:val="000000" w:themeColor="text1"/>
          <w:sz w:val="24"/>
          <w:szCs w:val="24"/>
          <w:lang w:val="en-GB"/>
        </w:rPr>
        <w:t xml:space="preserve">in practice settings. Social work practice in the UK subscribes to a range of different theoretical paradigms, </w:t>
      </w:r>
      <w:r w:rsidRPr="001663C4">
        <w:rPr>
          <w:rFonts w:asciiTheme="minorHAnsi" w:hAnsiTheme="minorHAnsi" w:cstheme="minorHAnsi"/>
          <w:b w:val="0"/>
          <w:bCs/>
          <w:color w:val="000000" w:themeColor="text1"/>
          <w:sz w:val="24"/>
          <w:szCs w:val="24"/>
          <w:lang w:val="en-GB"/>
        </w:rPr>
        <w:lastRenderedPageBreak/>
        <w:t>making the specific identification of these more complex than for areas of practice that have single, clear paradigm (</w:t>
      </w:r>
      <w:r w:rsidR="000066E7" w:rsidRPr="001663C4">
        <w:rPr>
          <w:rFonts w:asciiTheme="minorHAnsi" w:hAnsiTheme="minorHAnsi" w:cstheme="minorHAnsi"/>
          <w:b w:val="0"/>
          <w:bCs/>
          <w:color w:val="000000" w:themeColor="text1"/>
          <w:sz w:val="24"/>
          <w:szCs w:val="24"/>
          <w:lang w:val="en-GB"/>
        </w:rPr>
        <w:t>Deacon and Macdonald</w:t>
      </w:r>
      <w:r w:rsidRPr="001663C4">
        <w:rPr>
          <w:rFonts w:asciiTheme="minorHAnsi" w:hAnsiTheme="minorHAnsi" w:cstheme="minorHAnsi"/>
          <w:b w:val="0"/>
          <w:bCs/>
          <w:color w:val="000000" w:themeColor="text1"/>
          <w:sz w:val="24"/>
          <w:szCs w:val="24"/>
          <w:lang w:val="en-GB"/>
        </w:rPr>
        <w:t xml:space="preserve">, 2017). Social work practitioners can effectively deploy a range of theoretical paradigms in </w:t>
      </w:r>
      <w:proofErr w:type="gramStart"/>
      <w:r w:rsidRPr="001663C4">
        <w:rPr>
          <w:rFonts w:asciiTheme="minorHAnsi" w:hAnsiTheme="minorHAnsi" w:cstheme="minorHAnsi"/>
          <w:b w:val="0"/>
          <w:bCs/>
          <w:color w:val="000000" w:themeColor="text1"/>
          <w:sz w:val="24"/>
          <w:szCs w:val="24"/>
          <w:lang w:val="en-GB"/>
        </w:rPr>
        <w:t>practice, but</w:t>
      </w:r>
      <w:proofErr w:type="gramEnd"/>
      <w:r w:rsidRPr="001663C4">
        <w:rPr>
          <w:rFonts w:asciiTheme="minorHAnsi" w:hAnsiTheme="minorHAnsi" w:cstheme="minorHAnsi"/>
          <w:b w:val="0"/>
          <w:bCs/>
          <w:color w:val="000000" w:themeColor="text1"/>
          <w:sz w:val="24"/>
          <w:szCs w:val="24"/>
          <w:lang w:val="en-GB"/>
        </w:rPr>
        <w:t xml:space="preserve"> may not necessarily be able to explicitly name them (</w:t>
      </w:r>
      <w:r w:rsidR="000066E7" w:rsidRPr="001663C4">
        <w:rPr>
          <w:rFonts w:asciiTheme="minorHAnsi" w:hAnsiTheme="minorHAnsi" w:cstheme="minorHAnsi"/>
          <w:b w:val="0"/>
          <w:bCs/>
          <w:color w:val="000000" w:themeColor="text1"/>
          <w:sz w:val="24"/>
          <w:szCs w:val="24"/>
          <w:lang w:val="en-GB"/>
        </w:rPr>
        <w:t>Deacon and Macdonald</w:t>
      </w:r>
      <w:r w:rsidRPr="001663C4">
        <w:rPr>
          <w:rFonts w:asciiTheme="minorHAnsi" w:hAnsiTheme="minorHAnsi" w:cstheme="minorHAnsi"/>
          <w:b w:val="0"/>
          <w:bCs/>
          <w:color w:val="000000" w:themeColor="text1"/>
          <w:sz w:val="24"/>
          <w:szCs w:val="24"/>
          <w:lang w:val="en-GB"/>
        </w:rPr>
        <w:t>, 2017). Whilst this can be problematic if social work is to be seen as something that is theoretically and empirically informed (Hothersall, 2016), it is argued that by engaging with critical thinking and reflection, practitioners have the ability to engage with key principles (</w:t>
      </w:r>
      <w:proofErr w:type="spellStart"/>
      <w:r w:rsidRPr="001663C4">
        <w:rPr>
          <w:rFonts w:asciiTheme="minorHAnsi" w:hAnsiTheme="minorHAnsi" w:cstheme="minorHAnsi"/>
          <w:b w:val="0"/>
          <w:bCs/>
          <w:color w:val="000000" w:themeColor="text1"/>
          <w:sz w:val="24"/>
          <w:szCs w:val="24"/>
          <w:lang w:val="en-GB"/>
        </w:rPr>
        <w:t>Vibeke</w:t>
      </w:r>
      <w:proofErr w:type="spellEnd"/>
      <w:r w:rsidRPr="001663C4">
        <w:rPr>
          <w:rFonts w:asciiTheme="minorHAnsi" w:hAnsiTheme="minorHAnsi" w:cstheme="minorHAnsi"/>
          <w:b w:val="0"/>
          <w:bCs/>
          <w:color w:val="000000" w:themeColor="text1"/>
          <w:sz w:val="24"/>
          <w:szCs w:val="24"/>
          <w:lang w:val="en-GB"/>
        </w:rPr>
        <w:t xml:space="preserve"> and Turney, 2017).  Therefore, by </w:t>
      </w:r>
      <w:r w:rsidRPr="001663C4">
        <w:rPr>
          <w:rFonts w:asciiTheme="minorHAnsi" w:hAnsiTheme="minorHAnsi" w:cstheme="minorHAnsi"/>
          <w:b w:val="0"/>
          <w:bCs/>
          <w:i/>
          <w:iCs/>
          <w:color w:val="000000" w:themeColor="text1"/>
          <w:sz w:val="24"/>
          <w:szCs w:val="24"/>
          <w:lang w:val="en-GB"/>
        </w:rPr>
        <w:t>temporarily</w:t>
      </w:r>
      <w:r w:rsidRPr="001663C4">
        <w:rPr>
          <w:rFonts w:asciiTheme="minorHAnsi" w:hAnsiTheme="minorHAnsi" w:cstheme="minorHAnsi"/>
          <w:b w:val="0"/>
          <w:bCs/>
          <w:color w:val="000000" w:themeColor="text1"/>
          <w:sz w:val="24"/>
          <w:szCs w:val="24"/>
          <w:lang w:val="en-GB"/>
        </w:rPr>
        <w:t xml:space="preserve"> putting research terminology aside it is possible to frame research within an eclectic practice paradigm as part of the learning process, allowing practitioners to learn in a more familiar way – through their own practice examples. The terminology is not removed completely, just put aside to be reintroduced at a later stage.</w:t>
      </w:r>
    </w:p>
    <w:p w14:paraId="3EE06971" w14:textId="37ACEE77" w:rsidR="00AF597F" w:rsidRPr="001663C4" w:rsidRDefault="00AF597F" w:rsidP="00AF597F">
      <w:pPr>
        <w:spacing w:line="360" w:lineRule="auto"/>
        <w:jc w:val="both"/>
        <w:rPr>
          <w:rFonts w:asciiTheme="minorHAnsi" w:hAnsiTheme="minorHAnsi" w:cstheme="minorHAnsi"/>
          <w:color w:val="000000" w:themeColor="text1"/>
          <w:sz w:val="24"/>
          <w:szCs w:val="24"/>
        </w:rPr>
      </w:pPr>
      <w:r w:rsidRPr="001663C4">
        <w:rPr>
          <w:rFonts w:asciiTheme="minorHAnsi" w:hAnsiTheme="minorHAnsi" w:cstheme="minorHAnsi"/>
          <w:b w:val="0"/>
          <w:bCs/>
          <w:color w:val="000000" w:themeColor="text1"/>
          <w:sz w:val="24"/>
          <w:szCs w:val="24"/>
          <w:lang w:val="en-GB"/>
        </w:rPr>
        <w:t xml:space="preserve">In keeping with this principle, the programme content is underpinned by taking an eclectic approach. </w:t>
      </w:r>
      <w:r w:rsidRPr="001663C4">
        <w:rPr>
          <w:rFonts w:asciiTheme="minorHAnsi" w:hAnsiTheme="minorHAnsi" w:cstheme="minorHAnsi"/>
          <w:b w:val="0"/>
          <w:bCs/>
          <w:color w:val="000000" w:themeColor="text1"/>
          <w:sz w:val="24"/>
          <w:szCs w:val="24"/>
        </w:rPr>
        <w:t xml:space="preserve">Whilst social work practice shares similar philosophical values, its application </w:t>
      </w:r>
      <w:proofErr w:type="gramStart"/>
      <w:r w:rsidRPr="001663C4">
        <w:rPr>
          <w:rFonts w:asciiTheme="minorHAnsi" w:hAnsiTheme="minorHAnsi" w:cstheme="minorHAnsi"/>
          <w:b w:val="0"/>
          <w:bCs/>
          <w:color w:val="000000" w:themeColor="text1"/>
          <w:sz w:val="24"/>
          <w:szCs w:val="24"/>
        </w:rPr>
        <w:t>in reality is</w:t>
      </w:r>
      <w:proofErr w:type="gramEnd"/>
      <w:r w:rsidRPr="001663C4">
        <w:rPr>
          <w:rFonts w:asciiTheme="minorHAnsi" w:hAnsiTheme="minorHAnsi" w:cstheme="minorHAnsi"/>
          <w:b w:val="0"/>
          <w:bCs/>
          <w:color w:val="000000" w:themeColor="text1"/>
          <w:sz w:val="24"/>
          <w:szCs w:val="24"/>
        </w:rPr>
        <w:t xml:space="preserve"> context specific and dependent on the level of state control (</w:t>
      </w:r>
      <w:r w:rsidR="000066E7" w:rsidRPr="001663C4">
        <w:rPr>
          <w:rFonts w:asciiTheme="minorHAnsi" w:hAnsiTheme="minorHAnsi" w:cstheme="minorHAnsi"/>
          <w:b w:val="0"/>
          <w:bCs/>
          <w:color w:val="000000" w:themeColor="text1"/>
          <w:sz w:val="24"/>
          <w:szCs w:val="24"/>
        </w:rPr>
        <w:t>Deacon and Macdonald</w:t>
      </w:r>
      <w:r w:rsidRPr="001663C4">
        <w:rPr>
          <w:rFonts w:asciiTheme="minorHAnsi" w:hAnsiTheme="minorHAnsi" w:cstheme="minorHAnsi"/>
          <w:b w:val="0"/>
          <w:bCs/>
          <w:color w:val="000000" w:themeColor="text1"/>
          <w:sz w:val="24"/>
          <w:szCs w:val="24"/>
        </w:rPr>
        <w:t>, 2017).  In the UK, state social work is influenced by an eclectic range of theoretical paradigms, from psychological, to sociological to ideological (</w:t>
      </w:r>
      <w:r w:rsidR="000066E7" w:rsidRPr="001663C4">
        <w:rPr>
          <w:rFonts w:asciiTheme="minorHAnsi" w:hAnsiTheme="minorHAnsi" w:cstheme="minorHAnsi"/>
          <w:b w:val="0"/>
          <w:bCs/>
          <w:color w:val="000000" w:themeColor="text1"/>
          <w:sz w:val="24"/>
          <w:szCs w:val="24"/>
        </w:rPr>
        <w:t>Deacon and Macdonald,</w:t>
      </w:r>
      <w:r w:rsidRPr="001663C4">
        <w:rPr>
          <w:rFonts w:asciiTheme="minorHAnsi" w:hAnsiTheme="minorHAnsi" w:cstheme="minorHAnsi"/>
          <w:b w:val="0"/>
          <w:bCs/>
          <w:color w:val="000000" w:themeColor="text1"/>
          <w:sz w:val="24"/>
          <w:szCs w:val="24"/>
        </w:rPr>
        <w:t xml:space="preserve"> 2017). </w:t>
      </w:r>
      <w:r w:rsidRPr="001663C4">
        <w:rPr>
          <w:rFonts w:asciiTheme="minorHAnsi" w:hAnsiTheme="minorHAnsi" w:cstheme="minorHAnsi"/>
          <w:b w:val="0"/>
          <w:bCs/>
          <w:color w:val="000000" w:themeColor="text1"/>
          <w:sz w:val="24"/>
          <w:szCs w:val="24"/>
          <w:lang w:val="en-GB"/>
        </w:rPr>
        <w:t>FPR is also eclectic and therefore combines research concepts from social work (Practice-Based Research), nursing (Emancipatory Practice Development) and community work (Action and Emancipatory Participatory Research</w:t>
      </w:r>
      <w:proofErr w:type="gramStart"/>
      <w:r w:rsidRPr="001663C4">
        <w:rPr>
          <w:rFonts w:asciiTheme="minorHAnsi" w:hAnsiTheme="minorHAnsi" w:cstheme="minorHAnsi"/>
          <w:b w:val="0"/>
          <w:bCs/>
          <w:color w:val="000000" w:themeColor="text1"/>
          <w:sz w:val="24"/>
          <w:szCs w:val="24"/>
          <w:lang w:val="en-GB"/>
        </w:rPr>
        <w:t>), and</w:t>
      </w:r>
      <w:proofErr w:type="gramEnd"/>
      <w:r w:rsidRPr="001663C4">
        <w:rPr>
          <w:rFonts w:asciiTheme="minorHAnsi" w:hAnsiTheme="minorHAnsi" w:cstheme="minorHAnsi"/>
          <w:b w:val="0"/>
          <w:bCs/>
          <w:color w:val="000000" w:themeColor="text1"/>
          <w:sz w:val="24"/>
          <w:szCs w:val="24"/>
          <w:lang w:val="en-GB"/>
        </w:rPr>
        <w:t xml:space="preserve"> presents them in an explicable way to practitioners (</w:t>
      </w:r>
      <w:r w:rsidR="000066E7" w:rsidRPr="001663C4">
        <w:rPr>
          <w:rFonts w:asciiTheme="minorHAnsi" w:hAnsiTheme="minorHAnsi" w:cstheme="minorHAnsi"/>
          <w:b w:val="0"/>
          <w:bCs/>
          <w:color w:val="000000" w:themeColor="text1"/>
          <w:sz w:val="24"/>
          <w:szCs w:val="24"/>
          <w:lang w:val="en-GB"/>
        </w:rPr>
        <w:t xml:space="preserve">Deacon, </w:t>
      </w:r>
      <w:r w:rsidRPr="001663C4">
        <w:rPr>
          <w:rFonts w:asciiTheme="minorHAnsi" w:hAnsiTheme="minorHAnsi" w:cstheme="minorHAnsi"/>
          <w:b w:val="0"/>
          <w:bCs/>
          <w:color w:val="000000" w:themeColor="text1"/>
          <w:sz w:val="24"/>
          <w:szCs w:val="24"/>
          <w:lang w:val="en-GB"/>
        </w:rPr>
        <w:t xml:space="preserve">2022). The purpose is to empower practitioners to develop </w:t>
      </w:r>
      <w:r w:rsidRPr="001663C4">
        <w:rPr>
          <w:rFonts w:asciiTheme="minorHAnsi" w:hAnsiTheme="minorHAnsi" w:cstheme="minorHAnsi"/>
          <w:b w:val="0"/>
          <w:bCs/>
          <w:i/>
          <w:iCs/>
          <w:color w:val="000000" w:themeColor="text1"/>
          <w:sz w:val="24"/>
          <w:szCs w:val="24"/>
          <w:lang w:val="en-GB"/>
        </w:rPr>
        <w:t>research-mindedness</w:t>
      </w:r>
      <w:r w:rsidRPr="001663C4">
        <w:rPr>
          <w:rFonts w:asciiTheme="minorHAnsi" w:hAnsiTheme="minorHAnsi" w:cstheme="minorHAnsi"/>
          <w:b w:val="0"/>
          <w:bCs/>
          <w:color w:val="000000" w:themeColor="text1"/>
          <w:sz w:val="24"/>
          <w:szCs w:val="24"/>
          <w:lang w:val="en-GB"/>
        </w:rPr>
        <w:t xml:space="preserve"> </w:t>
      </w:r>
      <w:r w:rsidRPr="001663C4">
        <w:rPr>
          <w:rFonts w:asciiTheme="minorHAnsi" w:hAnsiTheme="minorHAnsi" w:cstheme="minorHAnsi"/>
          <w:b w:val="0"/>
          <w:bCs/>
          <w:i/>
          <w:iCs/>
          <w:color w:val="000000" w:themeColor="text1"/>
          <w:sz w:val="24"/>
          <w:szCs w:val="24"/>
          <w:lang w:val="en-GB"/>
        </w:rPr>
        <w:t>in action</w:t>
      </w:r>
      <w:r w:rsidRPr="001663C4">
        <w:rPr>
          <w:rFonts w:asciiTheme="minorHAnsi" w:hAnsiTheme="minorHAnsi" w:cstheme="minorHAnsi"/>
          <w:b w:val="0"/>
          <w:bCs/>
          <w:color w:val="000000" w:themeColor="text1"/>
          <w:sz w:val="24"/>
          <w:szCs w:val="24"/>
          <w:lang w:val="en-GB"/>
        </w:rPr>
        <w:t>, rather than just learning specific research skills, and to support them to engage critically.</w:t>
      </w:r>
    </w:p>
    <w:p w14:paraId="4239F562" w14:textId="73A403A3"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Through interdisciplinary working in research and practice the author was introduced to Practice Development, which emerged in the 1970s and is a term used in nursing to describe ‘a variety of methods for developing healthcare practice’ (Manley et al., 2008 p.1). It </w:t>
      </w:r>
      <w:proofErr w:type="spellStart"/>
      <w:r w:rsidRPr="001663C4">
        <w:rPr>
          <w:rFonts w:asciiTheme="minorHAnsi" w:hAnsiTheme="minorHAnsi" w:cstheme="minorHAnsi"/>
          <w:b w:val="0"/>
          <w:bCs/>
          <w:color w:val="000000" w:themeColor="text1"/>
          <w:sz w:val="24"/>
          <w:szCs w:val="24"/>
        </w:rPr>
        <w:t>emphasises</w:t>
      </w:r>
      <w:proofErr w:type="spellEnd"/>
      <w:r w:rsidRPr="001663C4">
        <w:rPr>
          <w:rFonts w:asciiTheme="minorHAnsi" w:hAnsiTheme="minorHAnsi" w:cstheme="minorHAnsi"/>
          <w:b w:val="0"/>
          <w:bCs/>
          <w:color w:val="000000" w:themeColor="text1"/>
          <w:sz w:val="24"/>
          <w:szCs w:val="24"/>
        </w:rPr>
        <w:t xml:space="preserve"> the need for an authentic, person-</w:t>
      </w:r>
      <w:proofErr w:type="spellStart"/>
      <w:r w:rsidRPr="001663C4">
        <w:rPr>
          <w:rFonts w:asciiTheme="minorHAnsi" w:hAnsiTheme="minorHAnsi" w:cstheme="minorHAnsi"/>
          <w:b w:val="0"/>
          <w:bCs/>
          <w:color w:val="000000" w:themeColor="text1"/>
          <w:sz w:val="24"/>
          <w:szCs w:val="24"/>
        </w:rPr>
        <w:t>centred</w:t>
      </w:r>
      <w:proofErr w:type="spellEnd"/>
      <w:r w:rsidRPr="001663C4">
        <w:rPr>
          <w:rFonts w:asciiTheme="minorHAnsi" w:hAnsiTheme="minorHAnsi" w:cstheme="minorHAnsi"/>
          <w:b w:val="0"/>
          <w:bCs/>
          <w:color w:val="000000" w:themeColor="text1"/>
          <w:sz w:val="24"/>
          <w:szCs w:val="24"/>
        </w:rPr>
        <w:t xml:space="preserve"> approach to service evaluation through challenging the hierarchical structure of service provision and using creative approaches to engage service users and stakeholders in service evaluation (</w:t>
      </w:r>
      <w:proofErr w:type="spellStart"/>
      <w:r w:rsidRPr="001663C4">
        <w:rPr>
          <w:rFonts w:asciiTheme="minorHAnsi" w:hAnsiTheme="minorHAnsi" w:cstheme="minorHAnsi"/>
          <w:b w:val="0"/>
          <w:bCs/>
          <w:color w:val="000000" w:themeColor="text1"/>
          <w:sz w:val="24"/>
          <w:szCs w:val="24"/>
        </w:rPr>
        <w:t>Heyns</w:t>
      </w:r>
      <w:proofErr w:type="spellEnd"/>
      <w:r w:rsidRPr="001663C4">
        <w:rPr>
          <w:rFonts w:asciiTheme="minorHAnsi" w:hAnsiTheme="minorHAnsi" w:cstheme="minorHAnsi"/>
          <w:b w:val="0"/>
          <w:bCs/>
          <w:color w:val="000000" w:themeColor="text1"/>
          <w:sz w:val="24"/>
          <w:szCs w:val="24"/>
        </w:rPr>
        <w:t xml:space="preserve"> et al., 2017). Emancipatory Practice Development (EPD) takes a critical social science approach, encouraging reflexivity in practitioners to consider how their practice is received by service users (Manley et al., 2008; </w:t>
      </w:r>
      <w:r w:rsidR="000066E7" w:rsidRPr="001663C4">
        <w:rPr>
          <w:rFonts w:asciiTheme="minorHAnsi" w:hAnsiTheme="minorHAnsi" w:cstheme="minorHAnsi"/>
          <w:b w:val="0"/>
          <w:bCs/>
          <w:color w:val="000000" w:themeColor="text1"/>
          <w:sz w:val="24"/>
          <w:szCs w:val="24"/>
          <w:lang w:val="en-GB"/>
        </w:rPr>
        <w:t>Deacon</w:t>
      </w:r>
      <w:r w:rsidRPr="001663C4">
        <w:rPr>
          <w:rFonts w:asciiTheme="minorHAnsi" w:hAnsiTheme="minorHAnsi" w:cstheme="minorHAnsi"/>
          <w:b w:val="0"/>
          <w:bCs/>
          <w:color w:val="000000" w:themeColor="text1"/>
          <w:sz w:val="24"/>
          <w:szCs w:val="24"/>
        </w:rPr>
        <w:t xml:space="preserve">, 2022). The practitioner </w:t>
      </w:r>
      <w:r w:rsidRPr="001663C4">
        <w:rPr>
          <w:rFonts w:asciiTheme="minorHAnsi" w:hAnsiTheme="minorHAnsi" w:cstheme="minorHAnsi"/>
          <w:b w:val="0"/>
          <w:bCs/>
          <w:color w:val="000000" w:themeColor="text1"/>
          <w:sz w:val="24"/>
          <w:szCs w:val="24"/>
        </w:rPr>
        <w:lastRenderedPageBreak/>
        <w:t>researcher role is taken by Practice Development Facilitators (PDFs), who conduct research in practice to improve practice (</w:t>
      </w:r>
      <w:proofErr w:type="spellStart"/>
      <w:r w:rsidRPr="001663C4">
        <w:rPr>
          <w:rFonts w:asciiTheme="minorHAnsi" w:hAnsiTheme="minorHAnsi" w:cstheme="minorHAnsi"/>
          <w:b w:val="0"/>
          <w:bCs/>
          <w:color w:val="000000" w:themeColor="text1"/>
          <w:sz w:val="24"/>
          <w:szCs w:val="24"/>
        </w:rPr>
        <w:t>Heyns</w:t>
      </w:r>
      <w:proofErr w:type="spellEnd"/>
      <w:r w:rsidRPr="001663C4">
        <w:rPr>
          <w:rFonts w:asciiTheme="minorHAnsi" w:hAnsiTheme="minorHAnsi" w:cstheme="minorHAnsi"/>
          <w:b w:val="0"/>
          <w:bCs/>
          <w:color w:val="000000" w:themeColor="text1"/>
          <w:sz w:val="24"/>
          <w:szCs w:val="24"/>
        </w:rPr>
        <w:t xml:space="preserve"> et al., 2017), and this is how the concept of facilitation emerged in the FPR model. Those in these roles are positioned as either </w:t>
      </w:r>
      <w:r w:rsidRPr="001663C4">
        <w:rPr>
          <w:rFonts w:asciiTheme="minorHAnsi" w:hAnsiTheme="minorHAnsi" w:cstheme="minorHAnsi"/>
          <w:b w:val="0"/>
          <w:bCs/>
          <w:i/>
          <w:iCs/>
          <w:color w:val="000000" w:themeColor="text1"/>
          <w:sz w:val="24"/>
          <w:szCs w:val="24"/>
        </w:rPr>
        <w:t>insider</w:t>
      </w:r>
      <w:r w:rsidRPr="001663C4">
        <w:rPr>
          <w:rFonts w:asciiTheme="minorHAnsi" w:hAnsiTheme="minorHAnsi" w:cstheme="minorHAnsi"/>
          <w:b w:val="0"/>
          <w:bCs/>
          <w:color w:val="000000" w:themeColor="text1"/>
          <w:sz w:val="24"/>
          <w:szCs w:val="24"/>
        </w:rPr>
        <w:t xml:space="preserve"> or </w:t>
      </w:r>
      <w:r w:rsidRPr="001663C4">
        <w:rPr>
          <w:rFonts w:asciiTheme="minorHAnsi" w:hAnsiTheme="minorHAnsi" w:cstheme="minorHAnsi"/>
          <w:b w:val="0"/>
          <w:bCs/>
          <w:i/>
          <w:iCs/>
          <w:color w:val="000000" w:themeColor="text1"/>
          <w:sz w:val="24"/>
          <w:szCs w:val="24"/>
        </w:rPr>
        <w:t>outsider</w:t>
      </w:r>
      <w:r w:rsidRPr="001663C4">
        <w:rPr>
          <w:rFonts w:asciiTheme="minorHAnsi" w:hAnsiTheme="minorHAnsi" w:cstheme="minorHAnsi"/>
          <w:b w:val="0"/>
          <w:bCs/>
          <w:color w:val="000000" w:themeColor="text1"/>
          <w:sz w:val="24"/>
          <w:szCs w:val="24"/>
        </w:rPr>
        <w:t xml:space="preserve"> researchers who lead on the development of </w:t>
      </w:r>
      <w:r w:rsidRPr="001663C4">
        <w:rPr>
          <w:rFonts w:asciiTheme="minorHAnsi" w:hAnsiTheme="minorHAnsi" w:cstheme="minorHAnsi"/>
          <w:b w:val="0"/>
          <w:bCs/>
          <w:color w:val="000000" w:themeColor="text1"/>
          <w:sz w:val="24"/>
          <w:szCs w:val="24"/>
          <w:lang w:val="en-GB"/>
        </w:rPr>
        <w:t>Practice Research</w:t>
      </w:r>
      <w:r w:rsidRPr="001663C4">
        <w:rPr>
          <w:rFonts w:asciiTheme="minorHAnsi" w:hAnsiTheme="minorHAnsi" w:cstheme="minorHAnsi"/>
          <w:b w:val="0"/>
          <w:bCs/>
          <w:color w:val="000000" w:themeColor="text1"/>
          <w:sz w:val="24"/>
          <w:szCs w:val="24"/>
        </w:rPr>
        <w:t>. The author therefore identifies their role in the process as a facilitator of practitioner research. The advantage of embedding this approach, specifically in the UK, is that it can lead to a shared epistemology between PDFs and practitioner researchers, enabling easier collaboration so practitioners across different disciplines can share the same language concerning the wellbeing of members of society.</w:t>
      </w:r>
    </w:p>
    <w:p w14:paraId="44878891"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Through the doing of the research project within the programme, </w:t>
      </w:r>
      <w:proofErr w:type="spellStart"/>
      <w:r w:rsidRPr="001663C4">
        <w:rPr>
          <w:rFonts w:asciiTheme="minorHAnsi" w:hAnsiTheme="minorHAnsi" w:cstheme="minorHAnsi"/>
          <w:b w:val="0"/>
          <w:bCs/>
          <w:color w:val="000000" w:themeColor="text1"/>
          <w:sz w:val="24"/>
          <w:szCs w:val="24"/>
        </w:rPr>
        <w:t>i</w:t>
      </w:r>
      <w:proofErr w:type="spellEnd"/>
      <w:r w:rsidRPr="001663C4">
        <w:rPr>
          <w:rFonts w:asciiTheme="minorHAnsi" w:hAnsiTheme="minorHAnsi" w:cstheme="minorHAnsi"/>
          <w:b w:val="0"/>
          <w:bCs/>
          <w:color w:val="000000" w:themeColor="text1"/>
          <w:sz w:val="24"/>
          <w:szCs w:val="24"/>
          <w:lang w:val="en-GB"/>
        </w:rPr>
        <w:t>t is thus posited that supporting the development of practitioners’ research-mindedness within practice settings in this way helps alleviate some of the research anxiety that exists in practitioners about conducting research themselves.</w:t>
      </w:r>
    </w:p>
    <w:p w14:paraId="1E8F05F5"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6FE45554"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The FPR programme</w:t>
      </w:r>
    </w:p>
    <w:p w14:paraId="25AA62B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The programme itself has three parts taking place over an extended period. Part 1 is the teaching programme, which the facilitator adapts to match the trajectory of the emerging research, and consists of the following elements:</w:t>
      </w:r>
    </w:p>
    <w:p w14:paraId="149AC3CE" w14:textId="77777777" w:rsidR="00AF597F" w:rsidRPr="001663C4" w:rsidRDefault="00AF597F" w:rsidP="00AF597F">
      <w:pPr>
        <w:pStyle w:val="ListParagraph"/>
        <w:numPr>
          <w:ilvl w:val="0"/>
          <w:numId w:val="4"/>
        </w:num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Research terminology is temporarily put aside and reframed in practice language so practitioners can engage with key concepts, e.g. how practitioners use investigative research skills daily and how these can be re-framed towards a research focus.</w:t>
      </w:r>
    </w:p>
    <w:p w14:paraId="105672D5" w14:textId="77777777" w:rsidR="00AF597F" w:rsidRPr="001663C4" w:rsidRDefault="00AF597F" w:rsidP="00AF597F">
      <w:pPr>
        <w:pStyle w:val="ListParagraph"/>
        <w:numPr>
          <w:ilvl w:val="0"/>
          <w:numId w:val="4"/>
        </w:num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Reflexivity is used as a starting point, enabling practitioners to step back from their practice, e.g. considering their relationship with research and with how services are received.</w:t>
      </w:r>
    </w:p>
    <w:p w14:paraId="5F80034F" w14:textId="77777777" w:rsidR="00AF597F" w:rsidRPr="001663C4" w:rsidRDefault="00AF597F" w:rsidP="00AF597F">
      <w:pPr>
        <w:pStyle w:val="ListParagraph"/>
        <w:numPr>
          <w:ilvl w:val="0"/>
          <w:numId w:val="4"/>
        </w:num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 xml:space="preserve">Specifics are adapted by the facilitator and emerge through engaging with </w:t>
      </w:r>
      <w:r w:rsidRPr="001663C4">
        <w:rPr>
          <w:rFonts w:asciiTheme="minorHAnsi" w:hAnsiTheme="minorHAnsi" w:cstheme="minorHAnsi"/>
          <w:b w:val="0"/>
          <w:bCs/>
          <w:color w:val="000000" w:themeColor="text1"/>
          <w:sz w:val="24"/>
          <w:szCs w:val="24"/>
        </w:rPr>
        <w:t>practitioners, who identify potential areas of participatory research from their practice; the research project thereby emerges from the actions of the group.</w:t>
      </w:r>
    </w:p>
    <w:p w14:paraId="4D0BD4CD" w14:textId="77777777" w:rsidR="00AF597F" w:rsidRPr="001663C4" w:rsidRDefault="00AF597F" w:rsidP="00AF597F">
      <w:pPr>
        <w:pStyle w:val="ListParagraph"/>
        <w:numPr>
          <w:ilvl w:val="0"/>
          <w:numId w:val="4"/>
        </w:num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lastRenderedPageBreak/>
        <w:t xml:space="preserve">Practitioners are supported in applying for ethical approval from the facilitator’s HE and the </w:t>
      </w:r>
      <w:proofErr w:type="spellStart"/>
      <w:r w:rsidRPr="001663C4">
        <w:rPr>
          <w:rFonts w:asciiTheme="minorHAnsi" w:hAnsiTheme="minorHAnsi" w:cstheme="minorHAnsi"/>
          <w:b w:val="0"/>
          <w:bCs/>
          <w:color w:val="000000" w:themeColor="text1"/>
          <w:sz w:val="24"/>
          <w:szCs w:val="24"/>
        </w:rPr>
        <w:t>organisation’s</w:t>
      </w:r>
      <w:proofErr w:type="spellEnd"/>
      <w:r w:rsidRPr="001663C4">
        <w:rPr>
          <w:rFonts w:asciiTheme="minorHAnsi" w:hAnsiTheme="minorHAnsi" w:cstheme="minorHAnsi"/>
          <w:b w:val="0"/>
          <w:bCs/>
          <w:color w:val="000000" w:themeColor="text1"/>
          <w:sz w:val="24"/>
          <w:szCs w:val="24"/>
        </w:rPr>
        <w:t xml:space="preserve"> processes.</w:t>
      </w:r>
    </w:p>
    <w:p w14:paraId="59EF93EA" w14:textId="77777777" w:rsidR="00AF597F" w:rsidRPr="001663C4" w:rsidRDefault="00AF597F" w:rsidP="00AF597F">
      <w:pPr>
        <w:pStyle w:val="ListParagraph"/>
        <w:numPr>
          <w:ilvl w:val="0"/>
          <w:numId w:val="4"/>
        </w:num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Part 1 ends when the research project receives ethical approval.</w:t>
      </w:r>
    </w:p>
    <w:p w14:paraId="570A50D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In Part 2, the facilitation takes the form of supervision meetings as the practitioners collect and analyse data. </w:t>
      </w:r>
      <w:r w:rsidRPr="001663C4">
        <w:rPr>
          <w:rFonts w:asciiTheme="minorHAnsi" w:hAnsiTheme="minorHAnsi" w:cstheme="minorHAnsi"/>
          <w:b w:val="0"/>
          <w:bCs/>
          <w:color w:val="000000" w:themeColor="text1"/>
          <w:sz w:val="24"/>
          <w:szCs w:val="24"/>
        </w:rPr>
        <w:t xml:space="preserve">Practitioners are then supported to prepare a practice report, setting out how the research was conducted, and what themes were identified. </w:t>
      </w:r>
      <w:r w:rsidRPr="001663C4">
        <w:rPr>
          <w:rFonts w:asciiTheme="minorHAnsi" w:hAnsiTheme="minorHAnsi" w:cstheme="minorHAnsi"/>
          <w:b w:val="0"/>
          <w:bCs/>
          <w:color w:val="000000" w:themeColor="text1"/>
          <w:sz w:val="24"/>
          <w:szCs w:val="24"/>
          <w:lang w:val="en-GB"/>
        </w:rPr>
        <w:t>This report is the end point of Part 2, so findings are disseminated speedily into local practice.</w:t>
      </w:r>
    </w:p>
    <w:p w14:paraId="41CD652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Finally, Part 3 is about supporting the emerging research culture in the organisation through working as a collaborative network to disseminate the findings into journal articles. Research terminology is then reintroduced to highlight what they did and support development into practitioner researchers through writing for publication.</w:t>
      </w:r>
    </w:p>
    <w:p w14:paraId="7FAFA4AC"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Parts 1 and 2 have specific schedules and time constraints agreed by the facilitator and project team. Part 3 does not, however, and is about further supporting research capacity in the practitioners through nurturing the emerging research culture.</w:t>
      </w:r>
    </w:p>
    <w:p w14:paraId="104D4A35"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In essence what this model achieves is, through a slow and steady process, the emergence of research capacity and confidence within practitioners (through acknowledging and reducing research anxiety), and a research culture within the organisations that focuses on participatory research with service users.</w:t>
      </w:r>
    </w:p>
    <w:p w14:paraId="00248024"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135490FD"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Methodology</w:t>
      </w:r>
    </w:p>
    <w:p w14:paraId="2E4AFE53"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The intention of developing FPR was to facilitate change in how practitioners participate and conceptualise their role within Practice Research. The social justice approach of PAR was taken to engage with the people affected by the issue (practitioners) to work collectively on a solution. (</w:t>
      </w:r>
      <w:proofErr w:type="spellStart"/>
      <w:r w:rsidRPr="001663C4">
        <w:rPr>
          <w:rFonts w:asciiTheme="minorHAnsi" w:hAnsiTheme="minorHAnsi" w:cstheme="minorHAnsi"/>
          <w:b w:val="0"/>
          <w:bCs/>
          <w:color w:val="000000" w:themeColor="text1"/>
          <w:sz w:val="24"/>
          <w:szCs w:val="24"/>
          <w:lang w:val="en-GB"/>
        </w:rPr>
        <w:t>McIntryre</w:t>
      </w:r>
      <w:proofErr w:type="spellEnd"/>
      <w:r w:rsidRPr="001663C4">
        <w:rPr>
          <w:rFonts w:asciiTheme="minorHAnsi" w:hAnsiTheme="minorHAnsi" w:cstheme="minorHAnsi"/>
          <w:b w:val="0"/>
          <w:bCs/>
          <w:color w:val="000000" w:themeColor="text1"/>
          <w:sz w:val="24"/>
          <w:szCs w:val="24"/>
          <w:lang w:val="en-GB"/>
        </w:rPr>
        <w:t xml:space="preserve">, 2007). The author collaborated with practitioners in three different organisations to ‘diagnose’ the problem (research anxiety) and to ‘develop’ a solution (FPR) (Clark et al., 2021 p.367) through a cycle of research, action and reflection (McIntyre, 2017). Any changes that </w:t>
      </w:r>
      <w:r w:rsidRPr="001663C4">
        <w:rPr>
          <w:rFonts w:asciiTheme="minorHAnsi" w:hAnsiTheme="minorHAnsi" w:cstheme="minorHAnsi"/>
          <w:b w:val="0"/>
          <w:bCs/>
          <w:color w:val="000000" w:themeColor="text1"/>
          <w:sz w:val="24"/>
          <w:szCs w:val="24"/>
          <w:lang w:val="en-GB"/>
        </w:rPr>
        <w:lastRenderedPageBreak/>
        <w:t>occurred, and whether FPR was appropriate to address the issue of research anxiety, were then evaluated (Humphries, 2008).</w:t>
      </w:r>
    </w:p>
    <w:p w14:paraId="0E0B71C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lang w:val="en-GB"/>
        </w:rPr>
        <w:t xml:space="preserve">So far, two focus groups have taken place, one with each organisation, following completion of the teaching programme (the programme is still being implemented with the third organisation). With Organisation 1, to minimise author bias an individually moderated dialogical focus group was conducted by the two community practitioners </w:t>
      </w:r>
      <w:r w:rsidRPr="001663C4">
        <w:rPr>
          <w:rFonts w:asciiTheme="minorHAnsi" w:hAnsiTheme="minorHAnsi" w:cstheme="minorHAnsi"/>
          <w:b w:val="0"/>
          <w:bCs/>
          <w:color w:val="000000" w:themeColor="text1"/>
          <w:sz w:val="24"/>
          <w:szCs w:val="24"/>
        </w:rPr>
        <w:t>(</w:t>
      </w:r>
      <w:proofErr w:type="spellStart"/>
      <w:r w:rsidRPr="001663C4">
        <w:rPr>
          <w:rFonts w:asciiTheme="minorHAnsi" w:hAnsiTheme="minorHAnsi" w:cstheme="minorHAnsi"/>
          <w:b w:val="0"/>
          <w:bCs/>
          <w:color w:val="000000" w:themeColor="text1"/>
          <w:sz w:val="24"/>
          <w:szCs w:val="24"/>
        </w:rPr>
        <w:t>Acocella</w:t>
      </w:r>
      <w:proofErr w:type="spellEnd"/>
      <w:r w:rsidRPr="001663C4">
        <w:rPr>
          <w:rFonts w:asciiTheme="minorHAnsi" w:hAnsiTheme="minorHAnsi" w:cstheme="minorHAnsi"/>
          <w:b w:val="0"/>
          <w:bCs/>
          <w:color w:val="000000" w:themeColor="text1"/>
          <w:sz w:val="24"/>
          <w:szCs w:val="24"/>
        </w:rPr>
        <w:t xml:space="preserve"> and </w:t>
      </w:r>
      <w:proofErr w:type="spellStart"/>
      <w:r w:rsidRPr="001663C4">
        <w:rPr>
          <w:rFonts w:asciiTheme="minorHAnsi" w:hAnsiTheme="minorHAnsi" w:cstheme="minorHAnsi"/>
          <w:b w:val="0"/>
          <w:bCs/>
          <w:color w:val="000000" w:themeColor="text1"/>
          <w:sz w:val="24"/>
          <w:szCs w:val="24"/>
        </w:rPr>
        <w:t>Cataldi</w:t>
      </w:r>
      <w:proofErr w:type="spellEnd"/>
      <w:r w:rsidRPr="001663C4">
        <w:rPr>
          <w:rFonts w:asciiTheme="minorHAnsi" w:hAnsiTheme="minorHAnsi" w:cstheme="minorHAnsi"/>
          <w:b w:val="0"/>
          <w:bCs/>
          <w:color w:val="000000" w:themeColor="text1"/>
          <w:sz w:val="24"/>
          <w:szCs w:val="24"/>
        </w:rPr>
        <w:t>, 2021)</w:t>
      </w:r>
      <w:r w:rsidRPr="001663C4">
        <w:rPr>
          <w:rFonts w:asciiTheme="minorHAnsi" w:hAnsiTheme="minorHAnsi" w:cstheme="minorHAnsi"/>
          <w:b w:val="0"/>
          <w:bCs/>
          <w:color w:val="000000" w:themeColor="text1"/>
          <w:sz w:val="24"/>
          <w:szCs w:val="24"/>
          <w:lang w:val="en-GB"/>
        </w:rPr>
        <w:t xml:space="preserve">. With Organisation 2, funding was received so the focus group was moderated by a research assistant. Specific mention of research anxiety or capacity were not made. Participants were asked to reflect on their views and experiences of the </w:t>
      </w:r>
      <w:proofErr w:type="gramStart"/>
      <w:r w:rsidRPr="001663C4">
        <w:rPr>
          <w:rFonts w:asciiTheme="minorHAnsi" w:hAnsiTheme="minorHAnsi" w:cstheme="minorHAnsi"/>
          <w:b w:val="0"/>
          <w:bCs/>
          <w:color w:val="000000" w:themeColor="text1"/>
          <w:sz w:val="24"/>
          <w:szCs w:val="24"/>
          <w:lang w:val="en-GB"/>
        </w:rPr>
        <w:t>programme, and</w:t>
      </w:r>
      <w:proofErr w:type="gramEnd"/>
      <w:r w:rsidRPr="001663C4">
        <w:rPr>
          <w:rFonts w:asciiTheme="minorHAnsi" w:hAnsiTheme="minorHAnsi" w:cstheme="minorHAnsi"/>
          <w:b w:val="0"/>
          <w:bCs/>
          <w:color w:val="000000" w:themeColor="text1"/>
          <w:sz w:val="24"/>
          <w:szCs w:val="24"/>
          <w:lang w:val="en-GB"/>
        </w:rPr>
        <w:t xml:space="preserve"> were given a short reminder of the sessions taught as a trigger for this discussion.</w:t>
      </w:r>
    </w:p>
    <w:p w14:paraId="6818B11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164F8CD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[Table 1 here]</w:t>
      </w:r>
    </w:p>
    <w:p w14:paraId="04DBC046"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7D6BE391" w14:textId="116D2852"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The aim of gathering the data was to understand practitioners’ experiences of FPR </w:t>
      </w:r>
      <w:proofErr w:type="gramStart"/>
      <w:r w:rsidRPr="001663C4">
        <w:rPr>
          <w:rFonts w:asciiTheme="minorHAnsi" w:hAnsiTheme="minorHAnsi" w:cstheme="minorHAnsi"/>
          <w:b w:val="0"/>
          <w:bCs/>
          <w:color w:val="000000" w:themeColor="text1"/>
          <w:sz w:val="24"/>
          <w:szCs w:val="24"/>
        </w:rPr>
        <w:t>in order to</w:t>
      </w:r>
      <w:proofErr w:type="gramEnd"/>
      <w:r w:rsidRPr="001663C4">
        <w:rPr>
          <w:rFonts w:asciiTheme="minorHAnsi" w:hAnsiTheme="minorHAnsi" w:cstheme="minorHAnsi"/>
          <w:b w:val="0"/>
          <w:bCs/>
          <w:color w:val="000000" w:themeColor="text1"/>
          <w:sz w:val="24"/>
          <w:szCs w:val="24"/>
        </w:rPr>
        <w:t xml:space="preserve"> determine how they perceived its intended effectiveness at developing their research capacity. Ethical approval was received from the </w:t>
      </w:r>
      <w:r w:rsidR="00CC65AC" w:rsidRPr="001663C4">
        <w:rPr>
          <w:rFonts w:asciiTheme="minorHAnsi" w:hAnsiTheme="minorHAnsi" w:cstheme="minorHAnsi"/>
          <w:b w:val="0"/>
          <w:bCs/>
          <w:color w:val="000000" w:themeColor="text1"/>
          <w:sz w:val="24"/>
          <w:szCs w:val="24"/>
        </w:rPr>
        <w:t>a</w:t>
      </w:r>
      <w:r w:rsidRPr="001663C4">
        <w:rPr>
          <w:rFonts w:asciiTheme="minorHAnsi" w:hAnsiTheme="minorHAnsi" w:cstheme="minorHAnsi"/>
          <w:b w:val="0"/>
          <w:bCs/>
          <w:color w:val="000000" w:themeColor="text1"/>
          <w:sz w:val="24"/>
          <w:szCs w:val="24"/>
        </w:rPr>
        <w:t xml:space="preserve">uthor’s own University Research Ethics Committee. </w:t>
      </w:r>
      <w:r w:rsidRPr="001663C4">
        <w:rPr>
          <w:rFonts w:asciiTheme="minorHAnsi" w:hAnsiTheme="minorHAnsi" w:cstheme="minorHAnsi"/>
          <w:b w:val="0"/>
          <w:bCs/>
          <w:color w:val="000000" w:themeColor="text1"/>
          <w:sz w:val="24"/>
          <w:szCs w:val="24"/>
          <w:lang w:val="en-GB"/>
        </w:rPr>
        <w:t xml:space="preserve">A qualitative thematic analysis of the data was conducted (Clark et al., 2021) </w:t>
      </w:r>
      <w:r w:rsidRPr="001663C4">
        <w:rPr>
          <w:rFonts w:asciiTheme="minorHAnsi" w:hAnsiTheme="minorHAnsi" w:cstheme="minorHAnsi"/>
          <w:b w:val="0"/>
          <w:bCs/>
          <w:color w:val="000000" w:themeColor="text1"/>
          <w:sz w:val="24"/>
          <w:szCs w:val="24"/>
        </w:rPr>
        <w:t>with the emergence of three initial themes: ‘research anxiety’, ‘by any other name’, and ‘building relationships to build capacity’.</w:t>
      </w:r>
    </w:p>
    <w:p w14:paraId="2F061CF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18925A7F" w14:textId="77777777" w:rsidR="00AF597F" w:rsidRPr="001663C4" w:rsidRDefault="00AF597F" w:rsidP="00AF597F">
      <w:pPr>
        <w:spacing w:line="360" w:lineRule="auto"/>
        <w:jc w:val="both"/>
        <w:rPr>
          <w:rFonts w:asciiTheme="minorHAnsi" w:hAnsiTheme="minorHAnsi" w:cstheme="minorHAnsi"/>
          <w:color w:val="000000" w:themeColor="text1"/>
          <w:sz w:val="24"/>
          <w:szCs w:val="24"/>
        </w:rPr>
      </w:pPr>
      <w:r w:rsidRPr="001663C4">
        <w:rPr>
          <w:rFonts w:asciiTheme="minorHAnsi" w:hAnsiTheme="minorHAnsi" w:cstheme="minorHAnsi"/>
          <w:color w:val="000000" w:themeColor="text1"/>
          <w:sz w:val="24"/>
          <w:szCs w:val="24"/>
        </w:rPr>
        <w:t>Findings</w:t>
      </w:r>
    </w:p>
    <w:p w14:paraId="41A66C0A"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Research anxiety</w:t>
      </w:r>
    </w:p>
    <w:p w14:paraId="288B946D"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Whilst the exact term of </w:t>
      </w:r>
      <w:r w:rsidRPr="001663C4">
        <w:rPr>
          <w:rFonts w:asciiTheme="minorHAnsi" w:hAnsiTheme="minorHAnsi" w:cstheme="minorHAnsi"/>
          <w:b w:val="0"/>
          <w:bCs/>
          <w:i/>
          <w:iCs/>
          <w:color w:val="000000" w:themeColor="text1"/>
          <w:sz w:val="24"/>
          <w:szCs w:val="24"/>
        </w:rPr>
        <w:t xml:space="preserve">research </w:t>
      </w:r>
      <w:r w:rsidRPr="001663C4">
        <w:rPr>
          <w:rFonts w:asciiTheme="minorHAnsi" w:hAnsiTheme="minorHAnsi" w:cstheme="minorHAnsi"/>
          <w:b w:val="0"/>
          <w:bCs/>
          <w:i/>
          <w:color w:val="000000" w:themeColor="text1"/>
          <w:sz w:val="24"/>
          <w:szCs w:val="24"/>
        </w:rPr>
        <w:t>anxiety</w:t>
      </w:r>
      <w:r w:rsidRPr="001663C4">
        <w:rPr>
          <w:rFonts w:asciiTheme="minorHAnsi" w:hAnsiTheme="minorHAnsi" w:cstheme="minorHAnsi"/>
          <w:b w:val="0"/>
          <w:bCs/>
          <w:color w:val="000000" w:themeColor="text1"/>
          <w:sz w:val="24"/>
          <w:szCs w:val="24"/>
        </w:rPr>
        <w:t xml:space="preserve"> was not used, all participants in both organisations made reference to some kind of concern about research.</w:t>
      </w:r>
    </w:p>
    <w:p w14:paraId="0DC9D67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ab/>
      </w:r>
    </w:p>
    <w:p w14:paraId="13347369" w14:textId="77777777" w:rsidR="00AF597F" w:rsidRPr="001663C4" w:rsidRDefault="00AF597F" w:rsidP="00AF597F">
      <w:pPr>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‘I was a bit apprehensive about the research training.’ P3</w:t>
      </w:r>
    </w:p>
    <w:p w14:paraId="5E3C4C20" w14:textId="77777777" w:rsidR="00AF597F" w:rsidRPr="001663C4" w:rsidRDefault="00AF597F" w:rsidP="00AF597F">
      <w:pPr>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lastRenderedPageBreak/>
        <w:t>‘I have never liked research I find it very dry and annoying because of all of the processes you have to do.’</w:t>
      </w:r>
      <w:r w:rsidRPr="001663C4">
        <w:rPr>
          <w:rFonts w:asciiTheme="minorHAnsi" w:hAnsiTheme="minorHAnsi" w:cstheme="minorHAnsi"/>
          <w:b w:val="0"/>
          <w:bCs/>
          <w:color w:val="000000" w:themeColor="text1"/>
          <w:sz w:val="24"/>
          <w:szCs w:val="24"/>
        </w:rPr>
        <w:t xml:space="preserve"> P4</w:t>
      </w:r>
    </w:p>
    <w:p w14:paraId="4A413E51" w14:textId="77777777" w:rsidR="00AF597F" w:rsidRPr="001663C4" w:rsidRDefault="00AF597F" w:rsidP="00AF597F">
      <w:pPr>
        <w:autoSpaceDE w:val="0"/>
        <w:autoSpaceDN w:val="0"/>
        <w:adjustRightInd w:val="0"/>
        <w:spacing w:after="0"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‘You need to have confidence in your own ability to do it as it can seem massive.’</w:t>
      </w:r>
      <w:r w:rsidRPr="001663C4">
        <w:rPr>
          <w:rFonts w:asciiTheme="minorHAnsi" w:hAnsiTheme="minorHAnsi" w:cstheme="minorHAnsi"/>
          <w:b w:val="0"/>
          <w:bCs/>
          <w:color w:val="000000" w:themeColor="text1"/>
          <w:sz w:val="24"/>
          <w:szCs w:val="24"/>
        </w:rPr>
        <w:t xml:space="preserve"> P1</w:t>
      </w:r>
    </w:p>
    <w:p w14:paraId="44008956"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63A16EE6" w14:textId="77777777" w:rsidR="00AF597F" w:rsidRPr="001663C4" w:rsidRDefault="00AF597F" w:rsidP="00AF597F">
      <w:pPr>
        <w:autoSpaceDE w:val="0"/>
        <w:autoSpaceDN w:val="0"/>
        <w:adjustRightInd w:val="0"/>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As shown above, some of this anxiety related to how they felt about themselves and their abilities as well as their experiences or views on research. As Epstein (2016) observed, even the idea of conducting research led to a </w:t>
      </w:r>
      <w:proofErr w:type="spellStart"/>
      <w:r w:rsidRPr="001663C4">
        <w:rPr>
          <w:rFonts w:asciiTheme="minorHAnsi" w:hAnsiTheme="minorHAnsi" w:cstheme="minorHAnsi"/>
          <w:b w:val="0"/>
          <w:bCs/>
          <w:color w:val="000000" w:themeColor="text1"/>
          <w:sz w:val="24"/>
          <w:szCs w:val="24"/>
        </w:rPr>
        <w:t>vocalisation</w:t>
      </w:r>
      <w:proofErr w:type="spellEnd"/>
      <w:r w:rsidRPr="001663C4">
        <w:rPr>
          <w:rFonts w:asciiTheme="minorHAnsi" w:hAnsiTheme="minorHAnsi" w:cstheme="minorHAnsi"/>
          <w:b w:val="0"/>
          <w:bCs/>
          <w:color w:val="000000" w:themeColor="text1"/>
          <w:sz w:val="24"/>
          <w:szCs w:val="24"/>
        </w:rPr>
        <w:t xml:space="preserve"> of negative perceptions by students before it even began. Despite the FPR programme being conducted with experienced practitioners who had actively invited the facilitator to support their research development, they too met the idea with research anxiety. This appears evident in their perceptions of research as a concept (‘very dry and annoying’, P4) as well as their perceptions regarding their own abilities to conduct it (‘I was a bit apprehensive’, P3). P4 identified research as something not helpful to them, something that is separate because of the ‘processes you have to do’, and did not see these as processes that made sense to them for a practice environment. This perception that research is not about them or about practice shares similarities with critiques of EBP (</w:t>
      </w:r>
      <w:proofErr w:type="spellStart"/>
      <w:r w:rsidRPr="001663C4">
        <w:rPr>
          <w:rFonts w:asciiTheme="minorHAnsi" w:hAnsiTheme="minorHAnsi" w:cstheme="minorHAnsi"/>
          <w:b w:val="0"/>
          <w:bCs/>
          <w:color w:val="000000" w:themeColor="text1"/>
          <w:sz w:val="24"/>
          <w:szCs w:val="24"/>
        </w:rPr>
        <w:t>Bochicchio</w:t>
      </w:r>
      <w:proofErr w:type="spellEnd"/>
      <w:r w:rsidRPr="001663C4">
        <w:rPr>
          <w:rFonts w:asciiTheme="minorHAnsi" w:hAnsiTheme="minorHAnsi" w:cstheme="minorHAnsi"/>
          <w:b w:val="0"/>
          <w:bCs/>
          <w:color w:val="000000" w:themeColor="text1"/>
          <w:sz w:val="24"/>
          <w:szCs w:val="24"/>
        </w:rPr>
        <w:t xml:space="preserve"> et al., 2021; Dodd and Epstein, 2012; Fisher, 2020) and how research was observed as something separate to practice. For P1 and P3 the acknowledgement of ‘apprehension’ and needing ‘confidence in your own ability’ relates to how they perceived their abilities in this field, suggesting that research </w:t>
      </w:r>
      <w:r w:rsidRPr="001663C4">
        <w:rPr>
          <w:rFonts w:asciiTheme="minorHAnsi" w:hAnsiTheme="minorHAnsi" w:cstheme="minorHAnsi"/>
          <w:b w:val="0"/>
          <w:bCs/>
          <w:i/>
          <w:iCs/>
          <w:color w:val="000000" w:themeColor="text1"/>
          <w:sz w:val="24"/>
          <w:szCs w:val="24"/>
        </w:rPr>
        <w:t>anxiety</w:t>
      </w:r>
      <w:r w:rsidRPr="001663C4">
        <w:rPr>
          <w:rFonts w:asciiTheme="minorHAnsi" w:hAnsiTheme="minorHAnsi" w:cstheme="minorHAnsi"/>
          <w:b w:val="0"/>
          <w:bCs/>
          <w:color w:val="000000" w:themeColor="text1"/>
          <w:sz w:val="24"/>
          <w:szCs w:val="24"/>
        </w:rPr>
        <w:t xml:space="preserve"> is habituated in them, not just that they see research as irrelevant (</w:t>
      </w:r>
      <w:r w:rsidRPr="001663C4">
        <w:rPr>
          <w:rFonts w:asciiTheme="minorHAnsi" w:hAnsiTheme="minorHAnsi" w:cstheme="minorHAnsi"/>
          <w:b w:val="0"/>
          <w:bCs/>
          <w:color w:val="000000" w:themeColor="text1"/>
          <w:sz w:val="24"/>
          <w:szCs w:val="24"/>
          <w:lang w:val="en-GB"/>
        </w:rPr>
        <w:t>Bourdieu, 1998)</w:t>
      </w:r>
      <w:r w:rsidRPr="001663C4">
        <w:rPr>
          <w:rFonts w:asciiTheme="minorHAnsi" w:hAnsiTheme="minorHAnsi" w:cstheme="minorHAnsi"/>
          <w:b w:val="0"/>
          <w:bCs/>
          <w:color w:val="000000" w:themeColor="text1"/>
          <w:sz w:val="24"/>
          <w:szCs w:val="24"/>
        </w:rPr>
        <w:t xml:space="preserve">. These are illustrative of initial barriers experienced by practitioners: understanding the </w:t>
      </w:r>
      <w:r w:rsidRPr="001663C4">
        <w:rPr>
          <w:rFonts w:asciiTheme="minorHAnsi" w:hAnsiTheme="minorHAnsi" w:cstheme="minorHAnsi"/>
          <w:b w:val="0"/>
          <w:bCs/>
          <w:i/>
          <w:iCs/>
          <w:color w:val="000000" w:themeColor="text1"/>
          <w:sz w:val="24"/>
          <w:szCs w:val="24"/>
        </w:rPr>
        <w:t>relevance</w:t>
      </w:r>
      <w:r w:rsidRPr="001663C4">
        <w:rPr>
          <w:rFonts w:asciiTheme="minorHAnsi" w:hAnsiTheme="minorHAnsi" w:cstheme="minorHAnsi"/>
          <w:b w:val="0"/>
          <w:bCs/>
          <w:color w:val="000000" w:themeColor="text1"/>
          <w:sz w:val="24"/>
          <w:szCs w:val="24"/>
        </w:rPr>
        <w:t xml:space="preserve"> of research and seeing it as something </w:t>
      </w:r>
      <w:r w:rsidRPr="001663C4">
        <w:rPr>
          <w:rFonts w:asciiTheme="minorHAnsi" w:hAnsiTheme="minorHAnsi" w:cstheme="minorHAnsi"/>
          <w:b w:val="0"/>
          <w:bCs/>
          <w:i/>
          <w:iCs/>
          <w:color w:val="000000" w:themeColor="text1"/>
          <w:sz w:val="24"/>
          <w:szCs w:val="24"/>
        </w:rPr>
        <w:t>they can do</w:t>
      </w:r>
      <w:r w:rsidRPr="001663C4">
        <w:rPr>
          <w:rFonts w:asciiTheme="minorHAnsi" w:hAnsiTheme="minorHAnsi" w:cstheme="minorHAnsi"/>
          <w:b w:val="0"/>
          <w:bCs/>
          <w:color w:val="000000" w:themeColor="text1"/>
          <w:sz w:val="24"/>
          <w:szCs w:val="24"/>
        </w:rPr>
        <w:t xml:space="preserve">. Whilst </w:t>
      </w:r>
      <w:r w:rsidRPr="001663C4">
        <w:rPr>
          <w:rFonts w:asciiTheme="minorHAnsi" w:hAnsiTheme="minorHAnsi" w:cstheme="minorHAnsi"/>
          <w:b w:val="0"/>
          <w:bCs/>
          <w:color w:val="000000" w:themeColor="text1"/>
          <w:sz w:val="24"/>
          <w:szCs w:val="24"/>
          <w:lang w:val="en-GB"/>
        </w:rPr>
        <w:t>SWPR</w:t>
      </w:r>
      <w:r w:rsidRPr="001663C4">
        <w:rPr>
          <w:rFonts w:asciiTheme="minorHAnsi" w:hAnsiTheme="minorHAnsi" w:cstheme="minorHAnsi"/>
          <w:b w:val="0"/>
          <w:bCs/>
          <w:color w:val="000000" w:themeColor="text1"/>
          <w:sz w:val="24"/>
          <w:szCs w:val="24"/>
        </w:rPr>
        <w:t xml:space="preserve"> (Joubert and Webber, 2020a) has been emerging over the last twenty years to highlight the applicability of </w:t>
      </w:r>
      <w:r w:rsidRPr="001663C4">
        <w:rPr>
          <w:rFonts w:asciiTheme="minorHAnsi" w:hAnsiTheme="minorHAnsi" w:cstheme="minorHAnsi"/>
          <w:b w:val="0"/>
          <w:bCs/>
          <w:color w:val="000000" w:themeColor="text1"/>
          <w:sz w:val="24"/>
          <w:szCs w:val="24"/>
          <w:lang w:val="en-GB"/>
        </w:rPr>
        <w:t>Practice Research</w:t>
      </w:r>
      <w:r w:rsidRPr="001663C4">
        <w:rPr>
          <w:rFonts w:asciiTheme="minorHAnsi" w:hAnsiTheme="minorHAnsi" w:cstheme="minorHAnsi"/>
          <w:b w:val="0"/>
          <w:bCs/>
          <w:color w:val="000000" w:themeColor="text1"/>
          <w:sz w:val="24"/>
          <w:szCs w:val="24"/>
        </w:rPr>
        <w:t>, it is not yet embedded in the UK as much as in other countries.</w:t>
      </w:r>
    </w:p>
    <w:p w14:paraId="43285269" w14:textId="77777777" w:rsidR="00AF597F" w:rsidRPr="001663C4" w:rsidRDefault="00AF597F" w:rsidP="00AF597F">
      <w:pPr>
        <w:autoSpaceDE w:val="0"/>
        <w:autoSpaceDN w:val="0"/>
        <w:adjustRightInd w:val="0"/>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Participants did, however, refer to concerns being alleviated to some extent by their observations of how the programme was implemented by the facilitators. P5 described the facilitators as</w:t>
      </w:r>
    </w:p>
    <w:p w14:paraId="7CEE4C59" w14:textId="77777777" w:rsidR="00AF597F" w:rsidRPr="001663C4" w:rsidRDefault="00AF597F" w:rsidP="00AF597F">
      <w:pPr>
        <w:autoSpaceDE w:val="0"/>
        <w:autoSpaceDN w:val="0"/>
        <w:adjustRightInd w:val="0"/>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‘Very approachable and very knowledgeable, they came across as very passionate. So that gave us confidence in what we were doing. Also, no question was a silly question, we could ask anything.’</w:t>
      </w:r>
      <w:r w:rsidRPr="001663C4">
        <w:rPr>
          <w:rFonts w:asciiTheme="minorHAnsi" w:hAnsiTheme="minorHAnsi" w:cstheme="minorHAnsi"/>
          <w:b w:val="0"/>
          <w:bCs/>
          <w:color w:val="000000" w:themeColor="text1"/>
          <w:sz w:val="24"/>
          <w:szCs w:val="24"/>
        </w:rPr>
        <w:t xml:space="preserve"> P5</w:t>
      </w:r>
    </w:p>
    <w:p w14:paraId="5CF3FA1A" w14:textId="77777777" w:rsidR="00AF597F" w:rsidRPr="001663C4" w:rsidRDefault="00AF597F" w:rsidP="00AF597F">
      <w:pPr>
        <w:autoSpaceDE w:val="0"/>
        <w:autoSpaceDN w:val="0"/>
        <w:adjustRightInd w:val="0"/>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lastRenderedPageBreak/>
        <w:t>‘… they kept us moving at a pace that suited us. Without them we would have got lost in our research.’</w:t>
      </w:r>
      <w:r w:rsidRPr="001663C4">
        <w:rPr>
          <w:rFonts w:asciiTheme="minorHAnsi" w:hAnsiTheme="minorHAnsi" w:cstheme="minorHAnsi"/>
          <w:b w:val="0"/>
          <w:bCs/>
          <w:color w:val="000000" w:themeColor="text1"/>
          <w:sz w:val="24"/>
          <w:szCs w:val="24"/>
        </w:rPr>
        <w:t xml:space="preserve"> P3</w:t>
      </w:r>
    </w:p>
    <w:p w14:paraId="16CE9662" w14:textId="48AFD3F3" w:rsidR="00AF597F" w:rsidRPr="001663C4" w:rsidRDefault="00AF597F" w:rsidP="00AF597F">
      <w:pPr>
        <w:autoSpaceDE w:val="0"/>
        <w:autoSpaceDN w:val="0"/>
        <w:adjustRightInd w:val="0"/>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The relationship that formed between the facilitators and practitioners was about trust in a high challenge, high support environment (</w:t>
      </w:r>
      <w:r w:rsidR="00CC65AC" w:rsidRPr="001663C4">
        <w:rPr>
          <w:rFonts w:asciiTheme="minorHAnsi" w:hAnsiTheme="minorHAnsi" w:cstheme="minorHAnsi"/>
          <w:b w:val="0"/>
          <w:bCs/>
          <w:color w:val="000000" w:themeColor="text1"/>
          <w:sz w:val="24"/>
          <w:szCs w:val="24"/>
          <w:lang w:val="en-GB"/>
        </w:rPr>
        <w:t>Deacon</w:t>
      </w:r>
      <w:r w:rsidRPr="001663C4">
        <w:rPr>
          <w:rFonts w:asciiTheme="minorHAnsi" w:hAnsiTheme="minorHAnsi" w:cstheme="minorHAnsi"/>
          <w:b w:val="0"/>
          <w:bCs/>
          <w:color w:val="000000" w:themeColor="text1"/>
          <w:sz w:val="24"/>
          <w:szCs w:val="24"/>
        </w:rPr>
        <w:t xml:space="preserve">, 2022) to ensure the environment and process in which the research took place was supportive. This suggested a certain shift in thinking – their anxiety was not removed </w:t>
      </w:r>
      <w:r w:rsidRPr="001663C4">
        <w:rPr>
          <w:rFonts w:asciiTheme="minorHAnsi" w:hAnsiTheme="minorHAnsi" w:cstheme="minorHAnsi"/>
          <w:b w:val="0"/>
          <w:bCs/>
          <w:i/>
          <w:iCs/>
          <w:color w:val="000000" w:themeColor="text1"/>
          <w:sz w:val="24"/>
          <w:szCs w:val="24"/>
        </w:rPr>
        <w:t>per se</w:t>
      </w:r>
      <w:r w:rsidRPr="001663C4">
        <w:rPr>
          <w:rFonts w:asciiTheme="minorHAnsi" w:hAnsiTheme="minorHAnsi" w:cstheme="minorHAnsi"/>
          <w:b w:val="0"/>
          <w:bCs/>
          <w:color w:val="000000" w:themeColor="text1"/>
          <w:sz w:val="24"/>
          <w:szCs w:val="24"/>
        </w:rPr>
        <w:t>, but it could be argued that some alleviation had begun to occur.</w:t>
      </w:r>
    </w:p>
    <w:p w14:paraId="0E6BE667"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u w:val="single"/>
        </w:rPr>
      </w:pPr>
    </w:p>
    <w:p w14:paraId="5C72A4C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By any other name</w:t>
      </w:r>
    </w:p>
    <w:p w14:paraId="352767D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The intention of temporarily moving research terminology aside in the initial stages of the programme was to support practitioners in reframing their existing knowledge as research knowledge, through action and through relating it directly to practice. Participants’ observations appear to reinforce this. For example, P1 and P2 in Project 1 identified how they were unfamiliar with certain terms used in the programme. However, on reflection and re-reading information about them they realised they were already doing what those terms described, they just could not name them.</w:t>
      </w:r>
    </w:p>
    <w:p w14:paraId="43C67F63"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3111D73A" w14:textId="77777777" w:rsidR="00AF597F" w:rsidRPr="001663C4" w:rsidRDefault="00AF597F" w:rsidP="00AF597F">
      <w:pPr>
        <w:autoSpaceDE w:val="0"/>
        <w:autoSpaceDN w:val="0"/>
        <w:adjustRightInd w:val="0"/>
        <w:spacing w:after="0"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 xml:space="preserve">‘The … terms are not naturally there in our heads. It is only on </w:t>
      </w:r>
      <w:proofErr w:type="gramStart"/>
      <w:r w:rsidRPr="001663C4">
        <w:rPr>
          <w:rFonts w:asciiTheme="minorHAnsi" w:hAnsiTheme="minorHAnsi" w:cstheme="minorHAnsi"/>
          <w:b w:val="0"/>
          <w:bCs/>
          <w:i/>
          <w:iCs/>
          <w:color w:val="000000" w:themeColor="text1"/>
          <w:sz w:val="24"/>
          <w:szCs w:val="24"/>
        </w:rPr>
        <w:t>reflecting back</w:t>
      </w:r>
      <w:proofErr w:type="gramEnd"/>
      <w:r w:rsidRPr="001663C4">
        <w:rPr>
          <w:rFonts w:asciiTheme="minorHAnsi" w:hAnsiTheme="minorHAnsi" w:cstheme="minorHAnsi"/>
          <w:b w:val="0"/>
          <w:bCs/>
          <w:i/>
          <w:iCs/>
          <w:color w:val="000000" w:themeColor="text1"/>
          <w:sz w:val="24"/>
          <w:szCs w:val="24"/>
        </w:rPr>
        <w:t xml:space="preserve"> now that you </w:t>
      </w:r>
      <w:proofErr w:type="spellStart"/>
      <w:r w:rsidRPr="001663C4">
        <w:rPr>
          <w:rFonts w:asciiTheme="minorHAnsi" w:hAnsiTheme="minorHAnsi" w:cstheme="minorHAnsi"/>
          <w:b w:val="0"/>
          <w:bCs/>
          <w:i/>
          <w:iCs/>
          <w:color w:val="000000" w:themeColor="text1"/>
          <w:sz w:val="24"/>
          <w:szCs w:val="24"/>
        </w:rPr>
        <w:t>realise</w:t>
      </w:r>
      <w:proofErr w:type="spellEnd"/>
      <w:r w:rsidRPr="001663C4">
        <w:rPr>
          <w:rFonts w:asciiTheme="minorHAnsi" w:hAnsiTheme="minorHAnsi" w:cstheme="minorHAnsi"/>
          <w:b w:val="0"/>
          <w:bCs/>
          <w:i/>
          <w:iCs/>
          <w:color w:val="000000" w:themeColor="text1"/>
          <w:sz w:val="24"/>
          <w:szCs w:val="24"/>
        </w:rPr>
        <w:t xml:space="preserve"> you have done everything point-by-point right.’</w:t>
      </w:r>
      <w:r w:rsidRPr="001663C4">
        <w:rPr>
          <w:rFonts w:asciiTheme="minorHAnsi" w:hAnsiTheme="minorHAnsi" w:cstheme="minorHAnsi"/>
          <w:b w:val="0"/>
          <w:bCs/>
          <w:color w:val="000000" w:themeColor="text1"/>
          <w:sz w:val="24"/>
          <w:szCs w:val="24"/>
        </w:rPr>
        <w:t xml:space="preserve"> P2</w:t>
      </w:r>
    </w:p>
    <w:p w14:paraId="147A92E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3D618E2A" w14:textId="1E5DA6F9"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As </w:t>
      </w:r>
      <w:r w:rsidR="00CC65AC" w:rsidRPr="001663C4">
        <w:rPr>
          <w:rFonts w:asciiTheme="minorHAnsi" w:hAnsiTheme="minorHAnsi" w:cstheme="minorHAnsi"/>
          <w:b w:val="0"/>
          <w:bCs/>
          <w:color w:val="000000" w:themeColor="text1"/>
          <w:sz w:val="24"/>
          <w:szCs w:val="24"/>
          <w:lang w:val="en-GB"/>
        </w:rPr>
        <w:t>Deacon</w:t>
      </w:r>
      <w:r w:rsidR="00CC65AC" w:rsidRPr="001663C4">
        <w:rPr>
          <w:rFonts w:asciiTheme="minorHAnsi" w:hAnsiTheme="minorHAnsi" w:cstheme="minorHAnsi"/>
          <w:b w:val="0"/>
          <w:bCs/>
          <w:color w:val="000000" w:themeColor="text1"/>
          <w:sz w:val="24"/>
          <w:szCs w:val="24"/>
        </w:rPr>
        <w:t xml:space="preserve"> and Macdonald</w:t>
      </w:r>
      <w:r w:rsidRPr="001663C4">
        <w:rPr>
          <w:rFonts w:asciiTheme="minorHAnsi" w:hAnsiTheme="minorHAnsi" w:cstheme="minorHAnsi"/>
          <w:b w:val="0"/>
          <w:bCs/>
          <w:color w:val="000000" w:themeColor="text1"/>
          <w:sz w:val="24"/>
          <w:szCs w:val="24"/>
        </w:rPr>
        <w:t xml:space="preserve"> (2017) suggests, although specific concepts are not always named by practitioners, this does not mean the concepts themselves are not acted out in practice. Through reflection, P2 was able to identify that what they had done did fit with the academic discourse (Bourdieu et al., 1994). In Project 2, however, P3 and P4 presented what on the surface appear to be different observations to P5.</w:t>
      </w:r>
    </w:p>
    <w:p w14:paraId="6297C596"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7383EDA5" w14:textId="77777777" w:rsidR="00AF597F" w:rsidRPr="001663C4" w:rsidRDefault="00AF597F" w:rsidP="00AF597F">
      <w:pPr>
        <w:autoSpaceDE w:val="0"/>
        <w:autoSpaceDN w:val="0"/>
        <w:adjustRightInd w:val="0"/>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‘This training looked at the practical way rather than the theory behind it, so it was tools that we can put on practice. So that's probably why I enjoyed this training more than the research module that I did.’</w:t>
      </w:r>
      <w:r w:rsidRPr="001663C4">
        <w:rPr>
          <w:rFonts w:asciiTheme="minorHAnsi" w:hAnsiTheme="minorHAnsi" w:cstheme="minorHAnsi"/>
          <w:b w:val="0"/>
          <w:bCs/>
          <w:color w:val="000000" w:themeColor="text1"/>
          <w:sz w:val="24"/>
          <w:szCs w:val="24"/>
        </w:rPr>
        <w:t xml:space="preserve"> P4</w:t>
      </w:r>
    </w:p>
    <w:p w14:paraId="2740D133" w14:textId="77777777" w:rsidR="00AF597F" w:rsidRPr="001663C4" w:rsidRDefault="00AF597F" w:rsidP="00AF597F">
      <w:pPr>
        <w:autoSpaceDE w:val="0"/>
        <w:autoSpaceDN w:val="0"/>
        <w:adjustRightInd w:val="0"/>
        <w:spacing w:after="0" w:line="360" w:lineRule="auto"/>
        <w:ind w:firstLine="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lastRenderedPageBreak/>
        <w:t xml:space="preserve">‘… More like information sessions than intensive hard sessions.’ </w:t>
      </w:r>
      <w:r w:rsidRPr="001663C4">
        <w:rPr>
          <w:rFonts w:asciiTheme="minorHAnsi" w:hAnsiTheme="minorHAnsi" w:cstheme="minorHAnsi"/>
          <w:b w:val="0"/>
          <w:bCs/>
          <w:color w:val="000000" w:themeColor="text1"/>
          <w:sz w:val="24"/>
          <w:szCs w:val="24"/>
        </w:rPr>
        <w:t>P3</w:t>
      </w:r>
    </w:p>
    <w:p w14:paraId="7CA6478C" w14:textId="77777777" w:rsidR="00AF597F" w:rsidRPr="001663C4" w:rsidRDefault="00AF597F" w:rsidP="00AF597F">
      <w:pPr>
        <w:autoSpaceDE w:val="0"/>
        <w:autoSpaceDN w:val="0"/>
        <w:adjustRightInd w:val="0"/>
        <w:spacing w:after="0" w:line="360" w:lineRule="auto"/>
        <w:ind w:firstLine="720"/>
        <w:jc w:val="both"/>
        <w:rPr>
          <w:rFonts w:asciiTheme="minorHAnsi" w:hAnsiTheme="minorHAnsi" w:cstheme="minorHAnsi"/>
          <w:b w:val="0"/>
          <w:bCs/>
          <w:color w:val="000000" w:themeColor="text1"/>
          <w:sz w:val="24"/>
          <w:szCs w:val="24"/>
        </w:rPr>
      </w:pPr>
    </w:p>
    <w:p w14:paraId="1213C4A4" w14:textId="77777777" w:rsidR="00AF597F" w:rsidRPr="001663C4" w:rsidRDefault="00AF597F" w:rsidP="00AF597F">
      <w:pPr>
        <w:autoSpaceDE w:val="0"/>
        <w:autoSpaceDN w:val="0"/>
        <w:adjustRightInd w:val="0"/>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Here, P3 and P4 identified the programme as practical, where they could clearly see the links to their </w:t>
      </w:r>
      <w:proofErr w:type="gramStart"/>
      <w:r w:rsidRPr="001663C4">
        <w:rPr>
          <w:rFonts w:asciiTheme="minorHAnsi" w:hAnsiTheme="minorHAnsi" w:cstheme="minorHAnsi"/>
          <w:b w:val="0"/>
          <w:bCs/>
          <w:color w:val="000000" w:themeColor="text1"/>
          <w:sz w:val="24"/>
          <w:szCs w:val="24"/>
        </w:rPr>
        <w:t>practice</w:t>
      </w:r>
      <w:proofErr w:type="gramEnd"/>
      <w:r w:rsidRPr="001663C4">
        <w:rPr>
          <w:rFonts w:asciiTheme="minorHAnsi" w:hAnsiTheme="minorHAnsi" w:cstheme="minorHAnsi"/>
          <w:b w:val="0"/>
          <w:bCs/>
          <w:color w:val="000000" w:themeColor="text1"/>
          <w:sz w:val="24"/>
          <w:szCs w:val="24"/>
        </w:rPr>
        <w:t xml:space="preserve"> so it made sense to them. P5, however, (in the same organisation and programme as P3 and P4) observed the high concepts within the programme.</w:t>
      </w:r>
    </w:p>
    <w:p w14:paraId="1B6B87F2" w14:textId="77777777" w:rsidR="00AF597F" w:rsidRPr="001663C4" w:rsidRDefault="00AF597F" w:rsidP="00AF597F">
      <w:pPr>
        <w:autoSpaceDE w:val="0"/>
        <w:autoSpaceDN w:val="0"/>
        <w:adjustRightInd w:val="0"/>
        <w:spacing w:after="0"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 xml:space="preserve">‘We started off quite broad and then looked at the philosophy of research and then it narrowed down to different types of research.’ </w:t>
      </w:r>
      <w:r w:rsidRPr="001663C4">
        <w:rPr>
          <w:rFonts w:asciiTheme="minorHAnsi" w:hAnsiTheme="minorHAnsi" w:cstheme="minorHAnsi"/>
          <w:b w:val="0"/>
          <w:bCs/>
          <w:color w:val="000000" w:themeColor="text1"/>
          <w:sz w:val="24"/>
          <w:szCs w:val="24"/>
        </w:rPr>
        <w:t>P5</w:t>
      </w:r>
    </w:p>
    <w:p w14:paraId="074B0384"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63D2A60F"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P3 and P4’s observations, that the content was not theory driven but practical, appear in contrast to P5’s perspective that the teaching appeared to be successful in maintaining the integrity of research philosophy whilst making it accessible. The teaching was underpinned by research philosophy (ontology, </w:t>
      </w:r>
      <w:proofErr w:type="gramStart"/>
      <w:r w:rsidRPr="001663C4">
        <w:rPr>
          <w:rFonts w:asciiTheme="minorHAnsi" w:hAnsiTheme="minorHAnsi" w:cstheme="minorHAnsi"/>
          <w:b w:val="0"/>
          <w:bCs/>
          <w:color w:val="000000" w:themeColor="text1"/>
          <w:sz w:val="24"/>
          <w:szCs w:val="24"/>
        </w:rPr>
        <w:t>epistemology</w:t>
      </w:r>
      <w:proofErr w:type="gramEnd"/>
      <w:r w:rsidRPr="001663C4">
        <w:rPr>
          <w:rFonts w:asciiTheme="minorHAnsi" w:hAnsiTheme="minorHAnsi" w:cstheme="minorHAnsi"/>
          <w:b w:val="0"/>
          <w:bCs/>
          <w:color w:val="000000" w:themeColor="text1"/>
          <w:sz w:val="24"/>
          <w:szCs w:val="24"/>
        </w:rPr>
        <w:t xml:space="preserve"> and methodology) through examples, but these were not explicitly named.</w:t>
      </w:r>
    </w:p>
    <w:p w14:paraId="233975C0"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It also became evident that, throughout the projects, participants used their own contextual terminology to name the processes that took place. Yet, Table 2 shows how these can easily be mapped to research terms.</w:t>
      </w:r>
    </w:p>
    <w:p w14:paraId="6E671A98"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04741CE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[Table 2 here]</w:t>
      </w:r>
    </w:p>
    <w:p w14:paraId="75848754"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7848861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As Bourdieu and </w:t>
      </w:r>
      <w:proofErr w:type="spellStart"/>
      <w:r w:rsidRPr="001663C4">
        <w:rPr>
          <w:rFonts w:asciiTheme="minorHAnsi" w:hAnsiTheme="minorHAnsi" w:cstheme="minorHAnsi"/>
          <w:b w:val="0"/>
          <w:bCs/>
          <w:color w:val="000000" w:themeColor="text1"/>
          <w:sz w:val="24"/>
          <w:szCs w:val="24"/>
        </w:rPr>
        <w:t>Passeron</w:t>
      </w:r>
      <w:proofErr w:type="spellEnd"/>
      <w:r w:rsidRPr="001663C4">
        <w:rPr>
          <w:rFonts w:asciiTheme="minorHAnsi" w:hAnsiTheme="minorHAnsi" w:cstheme="minorHAnsi"/>
          <w:b w:val="0"/>
          <w:bCs/>
          <w:color w:val="000000" w:themeColor="text1"/>
          <w:sz w:val="24"/>
          <w:szCs w:val="24"/>
        </w:rPr>
        <w:t xml:space="preserve"> (1994) suggested, it is not educationally helpful to ‘cling to the traditional language of ideas because it is accepted without opposition’ (p.8). This does not suggest that research terminology must not be used, but that moving it temporarily aside allowed practitioners to use their own terms which enabled them to understand what they were doing and why. They were observed to be able to articulate what they were doing with a degree of confidence. This is not to suggest these alternative terms be adopted, but that through the relationship between the facilitators and practitioners it was possible for the facilitator to interrogate the meaning behind the terms used by discussing the practitioners’ actions.</w:t>
      </w:r>
    </w:p>
    <w:p w14:paraId="114C3164"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p>
    <w:p w14:paraId="330F7C81" w14:textId="77777777" w:rsidR="00AF597F" w:rsidRPr="001663C4" w:rsidRDefault="00AF597F" w:rsidP="00AF597F">
      <w:pPr>
        <w:autoSpaceDE w:val="0"/>
        <w:autoSpaceDN w:val="0"/>
        <w:adjustRightInd w:val="0"/>
        <w:spacing w:after="0"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Building relationships to build capacity</w:t>
      </w:r>
    </w:p>
    <w:p w14:paraId="74283D06"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lastRenderedPageBreak/>
        <w:t>The key to building their research capacity, according to participants in both projects, was in being able to have and share the experiences with another who they felt listened to them in an equal partnership. P3 encapsulated this as having an equal partnership with the facilitator(s).</w:t>
      </w:r>
    </w:p>
    <w:p w14:paraId="46B9F90E" w14:textId="77777777" w:rsidR="00AF597F" w:rsidRPr="001663C4" w:rsidRDefault="00AF597F" w:rsidP="00AF597F">
      <w:pPr>
        <w:autoSpaceDE w:val="0"/>
        <w:autoSpaceDN w:val="0"/>
        <w:adjustRightInd w:val="0"/>
        <w:spacing w:line="360" w:lineRule="auto"/>
        <w:ind w:left="720"/>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i/>
          <w:iCs/>
          <w:color w:val="000000" w:themeColor="text1"/>
          <w:sz w:val="24"/>
          <w:szCs w:val="24"/>
        </w:rPr>
        <w:t xml:space="preserve">‘I also felt like we were at a similar level, so we could ask something, and the tutors would never say “I already told you how to do it”.’ </w:t>
      </w:r>
      <w:r w:rsidRPr="001663C4">
        <w:rPr>
          <w:rFonts w:asciiTheme="minorHAnsi" w:hAnsiTheme="minorHAnsi" w:cstheme="minorHAnsi"/>
          <w:b w:val="0"/>
          <w:bCs/>
          <w:color w:val="000000" w:themeColor="text1"/>
          <w:sz w:val="24"/>
          <w:szCs w:val="24"/>
        </w:rPr>
        <w:t xml:space="preserve"> P3</w:t>
      </w:r>
    </w:p>
    <w:p w14:paraId="67945AE3" w14:textId="19BD26F5" w:rsidR="00AF597F" w:rsidRPr="001663C4" w:rsidRDefault="00AF597F" w:rsidP="00AF597F">
      <w:pPr>
        <w:autoSpaceDE w:val="0"/>
        <w:autoSpaceDN w:val="0"/>
        <w:adjustRightInd w:val="0"/>
        <w:spacing w:after="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Participants 3, 4 and 5 all remarked on the accessibility of the facilitator(s) (high support,</w:t>
      </w:r>
      <w:r w:rsidR="00AF7BFB" w:rsidRPr="001663C4">
        <w:rPr>
          <w:rFonts w:asciiTheme="minorHAnsi" w:hAnsiTheme="minorHAnsi" w:cstheme="minorHAnsi"/>
          <w:b w:val="0"/>
          <w:bCs/>
          <w:color w:val="000000" w:themeColor="text1"/>
          <w:sz w:val="24"/>
          <w:szCs w:val="24"/>
          <w:lang w:val="en-GB"/>
        </w:rPr>
        <w:t xml:space="preserve"> Deacon</w:t>
      </w:r>
      <w:r w:rsidRPr="001663C4">
        <w:rPr>
          <w:rFonts w:asciiTheme="minorHAnsi" w:hAnsiTheme="minorHAnsi" w:cstheme="minorHAnsi"/>
          <w:b w:val="0"/>
          <w:bCs/>
          <w:color w:val="000000" w:themeColor="text1"/>
          <w:sz w:val="24"/>
          <w:szCs w:val="24"/>
        </w:rPr>
        <w:t xml:space="preserve">, 2022), and how having this gave them more confidence in what they were doing. This was also remarked on by P1 and P2, who appreciated how the facilitator could cast a ‘critical eye’ (P1) over presentation of findings before sharing. This was not seen as something challenging for them, but something that was helpful in their development. In Project 1, P1 recalled reading through all the comments made by people in the community and pulling together what they were mainly ‘talking about’, but in subsequent documentation was able to identify this as ‘thematic </w:t>
      </w:r>
      <w:proofErr w:type="gramStart"/>
      <w:r w:rsidRPr="001663C4">
        <w:rPr>
          <w:rFonts w:asciiTheme="minorHAnsi" w:hAnsiTheme="minorHAnsi" w:cstheme="minorHAnsi"/>
          <w:b w:val="0"/>
          <w:bCs/>
          <w:color w:val="000000" w:themeColor="text1"/>
          <w:sz w:val="24"/>
          <w:szCs w:val="24"/>
        </w:rPr>
        <w:t>analysis’</w:t>
      </w:r>
      <w:proofErr w:type="gramEnd"/>
      <w:r w:rsidRPr="001663C4">
        <w:rPr>
          <w:rFonts w:asciiTheme="minorHAnsi" w:hAnsiTheme="minorHAnsi" w:cstheme="minorHAnsi"/>
          <w:b w:val="0"/>
          <w:bCs/>
          <w:color w:val="000000" w:themeColor="text1"/>
          <w:sz w:val="24"/>
          <w:szCs w:val="24"/>
        </w:rPr>
        <w:t>, and going forward used that term in practice reports. So as their confidence increased, so did their research capacity; and they were better prepared when research terminology was slowly reintroduced by the facilitator. This demonstrates participants actively seeking terminology, rather than seeing it as a barrier. Their reason for doing so was practical, as they realised other stakeholders would not ‘value it because it’s not their words, or in the language they would use, so … we need a find a balance between that’ (P1). That balance they found was in the reintroduction of the research terminology, so they actively sought guidance on this from the facilitator.</w:t>
      </w:r>
    </w:p>
    <w:p w14:paraId="416F9746"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
    <w:p w14:paraId="710B25FA"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rPr>
      </w:pPr>
      <w:r w:rsidRPr="001663C4">
        <w:rPr>
          <w:rFonts w:asciiTheme="minorHAnsi" w:hAnsiTheme="minorHAnsi" w:cstheme="minorHAnsi"/>
          <w:b w:val="0"/>
          <w:bCs/>
          <w:i/>
          <w:iCs/>
          <w:color w:val="000000" w:themeColor="text1"/>
          <w:sz w:val="24"/>
          <w:szCs w:val="24"/>
        </w:rPr>
        <w:t>Future development of testing</w:t>
      </w:r>
    </w:p>
    <w:p w14:paraId="53BCE7F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This piece of Action Research is continuing: the author is still consulting with Organisation 1; Organisation 2 are in the data collection phase; and the programme is about to enter a further testing phase with Organisations 3 and 4 (two Local Authority teams). Based on the findings presented, the methods of data analysis for this PAR project and how the efficacy of FPR is evaluated will be adapted further. An entrance and exit survey will be designed and implemented with practitioners in Organisations 3 and 4, to give a baseline for practitioners’ research anxiety </w:t>
      </w:r>
      <w:r w:rsidRPr="001663C4">
        <w:rPr>
          <w:rFonts w:asciiTheme="minorHAnsi" w:hAnsiTheme="minorHAnsi" w:cstheme="minorHAnsi"/>
          <w:b w:val="0"/>
          <w:bCs/>
          <w:color w:val="000000" w:themeColor="text1"/>
          <w:sz w:val="24"/>
          <w:szCs w:val="24"/>
        </w:rPr>
        <w:lastRenderedPageBreak/>
        <w:t>at the start and end of the programme. The focus group will still be implemented to give practitioners the opportunity to expand on their views.</w:t>
      </w:r>
    </w:p>
    <w:p w14:paraId="111B202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58AC7D6F"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Discussion and conclusion</w:t>
      </w:r>
    </w:p>
    <w:p w14:paraId="6C54F74B"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This article, utilising Bourdieu’s framework, presents an argument based on both theory and early empirical research (Bourdieu, 1998) to open a dialogue about challenging the symbolic power of academic social work research – not to delegitimise it, but to consider a specific way of thinking about how social workers in practice can also be researchers. It is argued that practitioners already have the necessary knowledge and skills to be researchers and to be the guardians of SWPR. In essence, practitioners can become practitioner researchers through doing (and not theorising about) Practice Research. This article suggests a cultural shift is needed to legitimise social work research that is conducted by practitioners for practice, not by identifying it as something </w:t>
      </w:r>
      <w:r w:rsidRPr="001663C4">
        <w:rPr>
          <w:rFonts w:asciiTheme="minorHAnsi" w:hAnsiTheme="minorHAnsi" w:cstheme="minorHAnsi"/>
          <w:b w:val="0"/>
          <w:bCs/>
          <w:i/>
          <w:iCs/>
          <w:color w:val="000000" w:themeColor="text1"/>
          <w:sz w:val="24"/>
          <w:szCs w:val="24"/>
          <w:lang w:val="en-GB"/>
        </w:rPr>
        <w:t>different</w:t>
      </w:r>
      <w:r w:rsidRPr="001663C4">
        <w:rPr>
          <w:rFonts w:asciiTheme="minorHAnsi" w:hAnsiTheme="minorHAnsi" w:cstheme="minorHAnsi"/>
          <w:b w:val="0"/>
          <w:bCs/>
          <w:color w:val="000000" w:themeColor="text1"/>
          <w:sz w:val="24"/>
          <w:szCs w:val="24"/>
          <w:lang w:val="en-GB"/>
        </w:rPr>
        <w:t xml:space="preserve"> but instead by reframing the capital in social work practitioners: that they </w:t>
      </w:r>
      <w:r w:rsidRPr="001663C4">
        <w:rPr>
          <w:rFonts w:asciiTheme="minorHAnsi" w:hAnsiTheme="minorHAnsi" w:cstheme="minorHAnsi"/>
          <w:b w:val="0"/>
          <w:bCs/>
          <w:i/>
          <w:iCs/>
          <w:color w:val="000000" w:themeColor="text1"/>
          <w:sz w:val="24"/>
          <w:szCs w:val="24"/>
          <w:lang w:val="en-GB"/>
        </w:rPr>
        <w:t>can</w:t>
      </w:r>
      <w:r w:rsidRPr="001663C4">
        <w:rPr>
          <w:rFonts w:asciiTheme="minorHAnsi" w:hAnsiTheme="minorHAnsi" w:cstheme="minorHAnsi"/>
          <w:b w:val="0"/>
          <w:bCs/>
          <w:color w:val="000000" w:themeColor="text1"/>
          <w:sz w:val="24"/>
          <w:szCs w:val="24"/>
          <w:lang w:val="en-GB"/>
        </w:rPr>
        <w:t xml:space="preserve"> do research and that they </w:t>
      </w:r>
      <w:r w:rsidRPr="001663C4">
        <w:rPr>
          <w:rFonts w:asciiTheme="minorHAnsi" w:hAnsiTheme="minorHAnsi" w:cstheme="minorHAnsi"/>
          <w:b w:val="0"/>
          <w:bCs/>
          <w:i/>
          <w:iCs/>
          <w:color w:val="000000" w:themeColor="text1"/>
          <w:sz w:val="24"/>
          <w:szCs w:val="24"/>
          <w:lang w:val="en-GB"/>
        </w:rPr>
        <w:t>are</w:t>
      </w:r>
      <w:r w:rsidRPr="001663C4">
        <w:rPr>
          <w:rFonts w:asciiTheme="minorHAnsi" w:hAnsiTheme="minorHAnsi" w:cstheme="minorHAnsi"/>
          <w:b w:val="0"/>
          <w:bCs/>
          <w:color w:val="000000" w:themeColor="text1"/>
          <w:sz w:val="24"/>
          <w:szCs w:val="24"/>
          <w:lang w:val="en-GB"/>
        </w:rPr>
        <w:t xml:space="preserve"> researchers. Thus, through this model, practitioners’ capital is reframed through re-conceptualising the field of social work research that takes place in practice with practitioners. In doing so, authentic and equal partnerships can be formed between academic-based social work researchers and practice-based social work practitioner researchers.</w:t>
      </w:r>
    </w:p>
    <w:p w14:paraId="129FEEA3"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Returning to the question raised through this piece of PAR, ‘how can we bridge the gap between social work research and social work practice?’, this article acts as a ‘call to reflexivity’ – for all those involved in social work research, especially in the UK, to consider what universities and academic social work researchers can do to address this imbalance. As Bourdieu suggested, it is about having a ‘feel for the game’ (1998 p. 80) between agents and cultural fields, understanding both the written and unwritten rules. We naturalise and embody the field, which means it </w:t>
      </w:r>
      <w:proofErr w:type="gramStart"/>
      <w:r w:rsidRPr="001663C4">
        <w:rPr>
          <w:rFonts w:asciiTheme="minorHAnsi" w:hAnsiTheme="minorHAnsi" w:cstheme="minorHAnsi"/>
          <w:b w:val="0"/>
          <w:bCs/>
          <w:i/>
          <w:iCs/>
          <w:color w:val="000000" w:themeColor="text1"/>
          <w:sz w:val="24"/>
          <w:szCs w:val="24"/>
          <w:lang w:val="en-GB"/>
        </w:rPr>
        <w:t>speaks</w:t>
      </w:r>
      <w:proofErr w:type="gramEnd"/>
      <w:r w:rsidRPr="001663C4">
        <w:rPr>
          <w:rFonts w:asciiTheme="minorHAnsi" w:hAnsiTheme="minorHAnsi" w:cstheme="minorHAnsi"/>
          <w:b w:val="0"/>
          <w:bCs/>
          <w:i/>
          <w:iCs/>
          <w:color w:val="000000" w:themeColor="text1"/>
          <w:sz w:val="24"/>
          <w:szCs w:val="24"/>
          <w:lang w:val="en-GB"/>
        </w:rPr>
        <w:t xml:space="preserve"> us</w:t>
      </w:r>
      <w:r w:rsidRPr="001663C4">
        <w:rPr>
          <w:rFonts w:asciiTheme="minorHAnsi" w:hAnsiTheme="minorHAnsi" w:cstheme="minorHAnsi"/>
          <w:b w:val="0"/>
          <w:bCs/>
          <w:color w:val="000000" w:themeColor="text1"/>
          <w:sz w:val="24"/>
          <w:szCs w:val="24"/>
          <w:lang w:val="en-GB"/>
        </w:rPr>
        <w:t xml:space="preserve">. So, whilst there is practical knowledge of the game there is also reflexive knowledge of the unwritten rules. Reflexivity is about breaking with the practical knowledge and values of the field in which it operates – ‘radical doubt’ (Webb et al., 2002 p.52). In all aspects this should be applied to consider whether or not the approaches being used are worthy, and thus whether they are benefitting the researcher or wider society. So this call to reflexivity is to ask us all to consider </w:t>
      </w:r>
      <w:r w:rsidRPr="001663C4">
        <w:rPr>
          <w:rFonts w:asciiTheme="minorHAnsi" w:hAnsiTheme="minorHAnsi" w:cstheme="minorHAnsi"/>
          <w:b w:val="0"/>
          <w:bCs/>
          <w:color w:val="000000" w:themeColor="text1"/>
          <w:sz w:val="24"/>
          <w:szCs w:val="24"/>
          <w:lang w:val="en-GB"/>
        </w:rPr>
        <w:lastRenderedPageBreak/>
        <w:t xml:space="preserve">whether social work research is not only beneficial to service users but also to the practice and practitioners on which it is based. It is also a call to practitioners to reframe their perceptions of social work research as something they </w:t>
      </w:r>
      <w:r w:rsidRPr="001663C4">
        <w:rPr>
          <w:rFonts w:asciiTheme="minorHAnsi" w:hAnsiTheme="minorHAnsi" w:cstheme="minorHAnsi"/>
          <w:b w:val="0"/>
          <w:bCs/>
          <w:i/>
          <w:iCs/>
          <w:color w:val="000000" w:themeColor="text1"/>
          <w:sz w:val="24"/>
          <w:szCs w:val="24"/>
          <w:lang w:val="en-GB"/>
        </w:rPr>
        <w:t>can</w:t>
      </w:r>
      <w:r w:rsidRPr="001663C4">
        <w:rPr>
          <w:rFonts w:asciiTheme="minorHAnsi" w:hAnsiTheme="minorHAnsi" w:cstheme="minorHAnsi"/>
          <w:b w:val="0"/>
          <w:bCs/>
          <w:color w:val="000000" w:themeColor="text1"/>
          <w:sz w:val="24"/>
          <w:szCs w:val="24"/>
          <w:lang w:val="en-GB"/>
        </w:rPr>
        <w:t xml:space="preserve"> do and something that </w:t>
      </w:r>
      <w:r w:rsidRPr="001663C4">
        <w:rPr>
          <w:rFonts w:asciiTheme="minorHAnsi" w:hAnsiTheme="minorHAnsi" w:cstheme="minorHAnsi"/>
          <w:b w:val="0"/>
          <w:bCs/>
          <w:i/>
          <w:iCs/>
          <w:color w:val="000000" w:themeColor="text1"/>
          <w:sz w:val="24"/>
          <w:szCs w:val="24"/>
          <w:lang w:val="en-GB"/>
        </w:rPr>
        <w:t>is</w:t>
      </w:r>
      <w:r w:rsidRPr="001663C4">
        <w:rPr>
          <w:rFonts w:asciiTheme="minorHAnsi" w:hAnsiTheme="minorHAnsi" w:cstheme="minorHAnsi"/>
          <w:b w:val="0"/>
          <w:bCs/>
          <w:color w:val="000000" w:themeColor="text1"/>
          <w:sz w:val="24"/>
          <w:szCs w:val="24"/>
          <w:lang w:val="en-GB"/>
        </w:rPr>
        <w:t xml:space="preserve"> relevant to their practice. This way, we can effectively connect these perceptions from an empowering position that reframes the practitioners’ research knowledge and skills, rather than positioning their knowledge and skills as separate. So, to borrow from </w:t>
      </w:r>
      <w:proofErr w:type="spellStart"/>
      <w:r w:rsidRPr="001663C4">
        <w:rPr>
          <w:rFonts w:asciiTheme="minorHAnsi" w:hAnsiTheme="minorHAnsi" w:cstheme="minorHAnsi"/>
          <w:b w:val="0"/>
          <w:bCs/>
          <w:color w:val="000000" w:themeColor="text1"/>
          <w:sz w:val="24"/>
          <w:szCs w:val="24"/>
          <w:lang w:val="en-GB"/>
        </w:rPr>
        <w:t>Heyns</w:t>
      </w:r>
      <w:proofErr w:type="spellEnd"/>
      <w:r w:rsidRPr="001663C4">
        <w:rPr>
          <w:rFonts w:asciiTheme="minorHAnsi" w:hAnsiTheme="minorHAnsi" w:cstheme="minorHAnsi"/>
          <w:b w:val="0"/>
          <w:bCs/>
          <w:color w:val="000000" w:themeColor="text1"/>
          <w:sz w:val="24"/>
          <w:szCs w:val="24"/>
          <w:lang w:val="en-GB"/>
        </w:rPr>
        <w:t xml:space="preserve"> et al. (2017), EPD is not a </w:t>
      </w:r>
      <w:r w:rsidRPr="001663C4">
        <w:rPr>
          <w:rFonts w:asciiTheme="minorHAnsi" w:hAnsiTheme="minorHAnsi" w:cstheme="minorHAnsi"/>
          <w:b w:val="0"/>
          <w:bCs/>
          <w:i/>
          <w:iCs/>
          <w:color w:val="000000" w:themeColor="text1"/>
          <w:sz w:val="24"/>
          <w:szCs w:val="24"/>
          <w:lang w:val="en-GB"/>
        </w:rPr>
        <w:t>quick fix</w:t>
      </w:r>
      <w:r w:rsidRPr="001663C4">
        <w:rPr>
          <w:rFonts w:asciiTheme="minorHAnsi" w:hAnsiTheme="minorHAnsi" w:cstheme="minorHAnsi"/>
          <w:b w:val="0"/>
          <w:bCs/>
          <w:color w:val="000000" w:themeColor="text1"/>
          <w:sz w:val="24"/>
          <w:szCs w:val="24"/>
          <w:lang w:val="en-GB"/>
        </w:rPr>
        <w:t xml:space="preserve">, as they suggest, so FPR is also not a </w:t>
      </w:r>
      <w:r w:rsidRPr="001663C4">
        <w:rPr>
          <w:rFonts w:asciiTheme="minorHAnsi" w:hAnsiTheme="minorHAnsi" w:cstheme="minorHAnsi"/>
          <w:b w:val="0"/>
          <w:bCs/>
          <w:i/>
          <w:iCs/>
          <w:color w:val="000000" w:themeColor="text1"/>
          <w:sz w:val="24"/>
          <w:szCs w:val="24"/>
          <w:lang w:val="en-GB"/>
        </w:rPr>
        <w:t>quick fix</w:t>
      </w:r>
      <w:r w:rsidRPr="001663C4">
        <w:rPr>
          <w:rFonts w:asciiTheme="minorHAnsi" w:hAnsiTheme="minorHAnsi" w:cstheme="minorHAnsi"/>
          <w:b w:val="0"/>
          <w:bCs/>
          <w:color w:val="000000" w:themeColor="text1"/>
          <w:sz w:val="24"/>
          <w:szCs w:val="24"/>
          <w:lang w:val="en-GB"/>
        </w:rPr>
        <w:t>, but is about the facilitation of a culture change in social work research…</w:t>
      </w:r>
    </w:p>
    <w:p w14:paraId="1C929665"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3EA0567E"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References</w:t>
      </w:r>
    </w:p>
    <w:p w14:paraId="3370673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roofErr w:type="spellStart"/>
      <w:r w:rsidRPr="001663C4">
        <w:rPr>
          <w:rFonts w:asciiTheme="minorHAnsi" w:hAnsiTheme="minorHAnsi" w:cstheme="minorHAnsi"/>
          <w:b w:val="0"/>
          <w:bCs/>
          <w:color w:val="000000" w:themeColor="text1"/>
          <w:sz w:val="24"/>
          <w:szCs w:val="24"/>
        </w:rPr>
        <w:t>Acocella</w:t>
      </w:r>
      <w:proofErr w:type="spellEnd"/>
      <w:r w:rsidRPr="001663C4">
        <w:rPr>
          <w:rFonts w:asciiTheme="minorHAnsi" w:hAnsiTheme="minorHAnsi" w:cstheme="minorHAnsi"/>
          <w:b w:val="0"/>
          <w:bCs/>
          <w:color w:val="000000" w:themeColor="text1"/>
          <w:sz w:val="24"/>
          <w:szCs w:val="24"/>
        </w:rPr>
        <w:t xml:space="preserve">, I. and </w:t>
      </w:r>
      <w:proofErr w:type="spellStart"/>
      <w:r w:rsidRPr="001663C4">
        <w:rPr>
          <w:rFonts w:asciiTheme="minorHAnsi" w:hAnsiTheme="minorHAnsi" w:cstheme="minorHAnsi"/>
          <w:b w:val="0"/>
          <w:bCs/>
          <w:color w:val="000000" w:themeColor="text1"/>
          <w:sz w:val="24"/>
          <w:szCs w:val="24"/>
        </w:rPr>
        <w:t>Cataldi</w:t>
      </w:r>
      <w:proofErr w:type="spellEnd"/>
      <w:r w:rsidRPr="001663C4">
        <w:rPr>
          <w:rFonts w:asciiTheme="minorHAnsi" w:hAnsiTheme="minorHAnsi" w:cstheme="minorHAnsi"/>
          <w:b w:val="0"/>
          <w:bCs/>
          <w:color w:val="000000" w:themeColor="text1"/>
          <w:sz w:val="24"/>
          <w:szCs w:val="24"/>
        </w:rPr>
        <w:t xml:space="preserve">, S. (2021) </w:t>
      </w:r>
      <w:r w:rsidRPr="001663C4">
        <w:rPr>
          <w:rFonts w:asciiTheme="minorHAnsi" w:hAnsiTheme="minorHAnsi" w:cstheme="minorHAnsi"/>
          <w:b w:val="0"/>
          <w:bCs/>
          <w:i/>
          <w:iCs/>
          <w:color w:val="000000" w:themeColor="text1"/>
          <w:sz w:val="24"/>
          <w:szCs w:val="24"/>
        </w:rPr>
        <w:t>Using Focus Groups</w:t>
      </w:r>
      <w:r w:rsidRPr="001663C4">
        <w:rPr>
          <w:rFonts w:asciiTheme="minorHAnsi" w:hAnsiTheme="minorHAnsi" w:cstheme="minorHAnsi"/>
          <w:b w:val="0"/>
          <w:bCs/>
          <w:color w:val="000000" w:themeColor="text1"/>
          <w:sz w:val="24"/>
          <w:szCs w:val="24"/>
        </w:rPr>
        <w:t>. London: SAGE Publications.</w:t>
      </w:r>
    </w:p>
    <w:p w14:paraId="7A358EE9"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Austin, M.J. (2020) ‘Identifying the Conceptual Foundations of Practice Research’ in L. Joubert and M. Webber (eds) </w:t>
      </w:r>
      <w:r w:rsidRPr="001663C4">
        <w:rPr>
          <w:rFonts w:asciiTheme="minorHAnsi" w:hAnsiTheme="minorHAnsi" w:cstheme="minorHAnsi"/>
          <w:b w:val="0"/>
          <w:bCs/>
          <w:i/>
          <w:iCs/>
          <w:color w:val="000000" w:themeColor="text1"/>
          <w:sz w:val="24"/>
          <w:szCs w:val="24"/>
        </w:rPr>
        <w:t xml:space="preserve">The Routledge International Handbook of Social Work Practice. </w:t>
      </w:r>
      <w:r w:rsidRPr="001663C4">
        <w:rPr>
          <w:rFonts w:asciiTheme="minorHAnsi" w:hAnsiTheme="minorHAnsi" w:cstheme="minorHAnsi"/>
          <w:b w:val="0"/>
          <w:bCs/>
          <w:color w:val="000000" w:themeColor="text1"/>
          <w:sz w:val="24"/>
          <w:szCs w:val="24"/>
        </w:rPr>
        <w:t>London: Routledge.</w:t>
      </w:r>
    </w:p>
    <w:p w14:paraId="73B8753B"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proofErr w:type="spellStart"/>
      <w:r w:rsidRPr="001663C4">
        <w:rPr>
          <w:rFonts w:asciiTheme="minorHAnsi" w:hAnsiTheme="minorHAnsi" w:cstheme="minorHAnsi"/>
          <w:b w:val="0"/>
          <w:bCs/>
          <w:color w:val="000000" w:themeColor="text1"/>
          <w:sz w:val="24"/>
          <w:szCs w:val="24"/>
        </w:rPr>
        <w:t>Bochicchio</w:t>
      </w:r>
      <w:proofErr w:type="spellEnd"/>
      <w:r w:rsidRPr="001663C4">
        <w:rPr>
          <w:rFonts w:asciiTheme="minorHAnsi" w:hAnsiTheme="minorHAnsi" w:cstheme="minorHAnsi"/>
          <w:b w:val="0"/>
          <w:bCs/>
          <w:color w:val="000000" w:themeColor="text1"/>
          <w:sz w:val="24"/>
          <w:szCs w:val="24"/>
        </w:rPr>
        <w:t xml:space="preserve">, L.A., McTavish, C. and </w:t>
      </w:r>
      <w:proofErr w:type="spellStart"/>
      <w:r w:rsidRPr="001663C4">
        <w:rPr>
          <w:rFonts w:asciiTheme="minorHAnsi" w:hAnsiTheme="minorHAnsi" w:cstheme="minorHAnsi"/>
          <w:b w:val="0"/>
          <w:bCs/>
          <w:color w:val="000000" w:themeColor="text1"/>
          <w:sz w:val="24"/>
          <w:szCs w:val="24"/>
        </w:rPr>
        <w:t>Stefanic</w:t>
      </w:r>
      <w:proofErr w:type="spellEnd"/>
      <w:r w:rsidRPr="001663C4">
        <w:rPr>
          <w:rFonts w:asciiTheme="minorHAnsi" w:hAnsiTheme="minorHAnsi" w:cstheme="minorHAnsi"/>
          <w:b w:val="0"/>
          <w:bCs/>
          <w:color w:val="000000" w:themeColor="text1"/>
          <w:sz w:val="24"/>
          <w:szCs w:val="24"/>
        </w:rPr>
        <w:t xml:space="preserve">, A. (2021) ‘From the Ivory Tower to the Treatment Trenches: Bridging the Gap between Research and Practice’, </w:t>
      </w:r>
      <w:r w:rsidRPr="001663C4">
        <w:rPr>
          <w:rFonts w:asciiTheme="minorHAnsi" w:hAnsiTheme="minorHAnsi" w:cstheme="minorHAnsi"/>
          <w:b w:val="0"/>
          <w:bCs/>
          <w:i/>
          <w:iCs/>
          <w:color w:val="000000" w:themeColor="text1"/>
          <w:sz w:val="24"/>
          <w:szCs w:val="24"/>
        </w:rPr>
        <w:t xml:space="preserve">Social Work, </w:t>
      </w:r>
      <w:r w:rsidRPr="001663C4">
        <w:rPr>
          <w:rFonts w:asciiTheme="minorHAnsi" w:hAnsiTheme="minorHAnsi" w:cstheme="minorHAnsi"/>
          <w:b w:val="0"/>
          <w:bCs/>
          <w:color w:val="000000" w:themeColor="text1"/>
          <w:sz w:val="24"/>
          <w:szCs w:val="24"/>
        </w:rPr>
        <w:t>66(2): 173–175.</w:t>
      </w:r>
    </w:p>
    <w:p w14:paraId="06764A8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(1989) </w:t>
      </w:r>
      <w:r w:rsidRPr="001663C4">
        <w:rPr>
          <w:rFonts w:asciiTheme="minorHAnsi" w:hAnsiTheme="minorHAnsi" w:cstheme="minorHAnsi"/>
          <w:b w:val="0"/>
          <w:bCs/>
          <w:i/>
          <w:iCs/>
          <w:color w:val="000000" w:themeColor="text1"/>
          <w:sz w:val="24"/>
          <w:szCs w:val="24"/>
          <w:lang w:val="en-GB"/>
        </w:rPr>
        <w:t xml:space="preserve">Distinctions: A Social Critique of the Judgement of </w:t>
      </w:r>
      <w:r w:rsidRPr="001663C4">
        <w:rPr>
          <w:rFonts w:asciiTheme="minorHAnsi" w:hAnsiTheme="minorHAnsi" w:cstheme="minorHAnsi"/>
          <w:b w:val="0"/>
          <w:bCs/>
          <w:color w:val="000000" w:themeColor="text1"/>
          <w:sz w:val="24"/>
          <w:szCs w:val="24"/>
          <w:lang w:val="en-GB"/>
        </w:rPr>
        <w:t>Taste. London: Routledge.</w:t>
      </w:r>
    </w:p>
    <w:p w14:paraId="0316CF47"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(1992) </w:t>
      </w:r>
      <w:r w:rsidRPr="001663C4">
        <w:rPr>
          <w:rFonts w:asciiTheme="minorHAnsi" w:hAnsiTheme="minorHAnsi" w:cstheme="minorHAnsi"/>
          <w:b w:val="0"/>
          <w:bCs/>
          <w:i/>
          <w:iCs/>
          <w:color w:val="000000" w:themeColor="text1"/>
          <w:sz w:val="24"/>
          <w:szCs w:val="24"/>
          <w:lang w:val="en-GB"/>
        </w:rPr>
        <w:t xml:space="preserve">Language and Symbolic Power. </w:t>
      </w:r>
      <w:r w:rsidRPr="001663C4">
        <w:rPr>
          <w:rFonts w:asciiTheme="minorHAnsi" w:hAnsiTheme="minorHAnsi" w:cstheme="minorHAnsi"/>
          <w:b w:val="0"/>
          <w:bCs/>
          <w:color w:val="000000" w:themeColor="text1"/>
          <w:sz w:val="24"/>
          <w:szCs w:val="24"/>
          <w:lang w:val="en-GB"/>
        </w:rPr>
        <w:t>Oxford: Polity Press.</w:t>
      </w:r>
    </w:p>
    <w:p w14:paraId="1D1A984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(1998) </w:t>
      </w:r>
      <w:r w:rsidRPr="001663C4">
        <w:rPr>
          <w:rFonts w:asciiTheme="minorHAnsi" w:hAnsiTheme="minorHAnsi" w:cstheme="minorHAnsi"/>
          <w:b w:val="0"/>
          <w:bCs/>
          <w:i/>
          <w:iCs/>
          <w:color w:val="000000" w:themeColor="text1"/>
          <w:sz w:val="24"/>
          <w:szCs w:val="24"/>
          <w:lang w:val="en-GB"/>
        </w:rPr>
        <w:t xml:space="preserve">Practical Reason. </w:t>
      </w:r>
      <w:r w:rsidRPr="001663C4">
        <w:rPr>
          <w:rFonts w:asciiTheme="minorHAnsi" w:hAnsiTheme="minorHAnsi" w:cstheme="minorHAnsi"/>
          <w:b w:val="0"/>
          <w:bCs/>
          <w:color w:val="000000" w:themeColor="text1"/>
          <w:sz w:val="24"/>
          <w:szCs w:val="24"/>
          <w:lang w:val="en-GB"/>
        </w:rPr>
        <w:t>Oxford: Polity Press.</w:t>
      </w:r>
    </w:p>
    <w:p w14:paraId="2050D28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and </w:t>
      </w:r>
      <w:proofErr w:type="spellStart"/>
      <w:r w:rsidRPr="001663C4">
        <w:rPr>
          <w:rFonts w:asciiTheme="minorHAnsi" w:hAnsiTheme="minorHAnsi" w:cstheme="minorHAnsi"/>
          <w:b w:val="0"/>
          <w:bCs/>
          <w:color w:val="000000" w:themeColor="text1"/>
          <w:sz w:val="24"/>
          <w:szCs w:val="24"/>
          <w:lang w:val="en-GB"/>
        </w:rPr>
        <w:t>Passeron</w:t>
      </w:r>
      <w:proofErr w:type="spellEnd"/>
      <w:r w:rsidRPr="001663C4">
        <w:rPr>
          <w:rFonts w:asciiTheme="minorHAnsi" w:hAnsiTheme="minorHAnsi" w:cstheme="minorHAnsi"/>
          <w:b w:val="0"/>
          <w:bCs/>
          <w:color w:val="000000" w:themeColor="text1"/>
          <w:sz w:val="24"/>
          <w:szCs w:val="24"/>
          <w:lang w:val="en-GB"/>
        </w:rPr>
        <w:t xml:space="preserve">, J.-C. (1994) 'Introduction’ in </w:t>
      </w:r>
      <w:r w:rsidRPr="001663C4">
        <w:rPr>
          <w:rFonts w:asciiTheme="minorHAnsi" w:hAnsiTheme="minorHAnsi" w:cstheme="minorHAnsi"/>
          <w:b w:val="0"/>
          <w:bCs/>
          <w:i/>
          <w:iCs/>
          <w:color w:val="000000" w:themeColor="text1"/>
          <w:sz w:val="24"/>
          <w:szCs w:val="24"/>
          <w:lang w:val="en-GB"/>
        </w:rPr>
        <w:t xml:space="preserve">Academic Discourse. </w:t>
      </w:r>
      <w:r w:rsidRPr="001663C4">
        <w:rPr>
          <w:rFonts w:asciiTheme="minorHAnsi" w:hAnsiTheme="minorHAnsi" w:cstheme="minorHAnsi"/>
          <w:b w:val="0"/>
          <w:bCs/>
          <w:color w:val="000000" w:themeColor="text1"/>
          <w:sz w:val="24"/>
          <w:szCs w:val="24"/>
          <w:lang w:val="en-GB"/>
        </w:rPr>
        <w:t>Cambridge: Polity Press.</w:t>
      </w:r>
    </w:p>
    <w:p w14:paraId="57AA7E9B"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and Wacquant, L. (1992) </w:t>
      </w:r>
      <w:r w:rsidRPr="001663C4">
        <w:rPr>
          <w:rFonts w:asciiTheme="minorHAnsi" w:hAnsiTheme="minorHAnsi" w:cstheme="minorHAnsi"/>
          <w:b w:val="0"/>
          <w:bCs/>
          <w:i/>
          <w:iCs/>
          <w:color w:val="000000" w:themeColor="text1"/>
          <w:sz w:val="24"/>
          <w:szCs w:val="24"/>
          <w:lang w:val="en-GB"/>
        </w:rPr>
        <w:t xml:space="preserve">An Invitation to Reflexive Sociology. </w:t>
      </w:r>
      <w:r w:rsidRPr="001663C4">
        <w:rPr>
          <w:rFonts w:asciiTheme="minorHAnsi" w:hAnsiTheme="minorHAnsi" w:cstheme="minorHAnsi"/>
          <w:b w:val="0"/>
          <w:bCs/>
          <w:color w:val="000000" w:themeColor="text1"/>
          <w:sz w:val="24"/>
          <w:szCs w:val="24"/>
          <w:lang w:val="en-GB"/>
        </w:rPr>
        <w:t>Oxford: Polity Press.</w:t>
      </w:r>
    </w:p>
    <w:p w14:paraId="42C7E52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Bourdieu, P., </w:t>
      </w:r>
      <w:proofErr w:type="spellStart"/>
      <w:r w:rsidRPr="001663C4">
        <w:rPr>
          <w:rFonts w:asciiTheme="minorHAnsi" w:hAnsiTheme="minorHAnsi" w:cstheme="minorHAnsi"/>
          <w:b w:val="0"/>
          <w:bCs/>
          <w:color w:val="000000" w:themeColor="text1"/>
          <w:sz w:val="24"/>
          <w:szCs w:val="24"/>
          <w:lang w:val="en-GB"/>
        </w:rPr>
        <w:t>Passeron</w:t>
      </w:r>
      <w:proofErr w:type="spellEnd"/>
      <w:r w:rsidRPr="001663C4">
        <w:rPr>
          <w:rFonts w:asciiTheme="minorHAnsi" w:hAnsiTheme="minorHAnsi" w:cstheme="minorHAnsi"/>
          <w:b w:val="0"/>
          <w:bCs/>
          <w:color w:val="000000" w:themeColor="text1"/>
          <w:sz w:val="24"/>
          <w:szCs w:val="24"/>
          <w:lang w:val="en-GB"/>
        </w:rPr>
        <w:t xml:space="preserve">, J.-C. and de Saint Martin, M. (1994) 'Students and the Language of Teaching' in P. Bourdieu, J.-C. </w:t>
      </w:r>
      <w:proofErr w:type="spellStart"/>
      <w:r w:rsidRPr="001663C4">
        <w:rPr>
          <w:rFonts w:asciiTheme="minorHAnsi" w:hAnsiTheme="minorHAnsi" w:cstheme="minorHAnsi"/>
          <w:b w:val="0"/>
          <w:bCs/>
          <w:color w:val="000000" w:themeColor="text1"/>
          <w:sz w:val="24"/>
          <w:szCs w:val="24"/>
          <w:lang w:val="en-GB"/>
        </w:rPr>
        <w:t>Passeron</w:t>
      </w:r>
      <w:proofErr w:type="spellEnd"/>
      <w:r w:rsidRPr="001663C4">
        <w:rPr>
          <w:rFonts w:asciiTheme="minorHAnsi" w:hAnsiTheme="minorHAnsi" w:cstheme="minorHAnsi"/>
          <w:b w:val="0"/>
          <w:bCs/>
          <w:color w:val="000000" w:themeColor="text1"/>
          <w:sz w:val="24"/>
          <w:szCs w:val="24"/>
          <w:lang w:val="en-GB"/>
        </w:rPr>
        <w:t xml:space="preserve"> and M. de Saint Martin (eds) </w:t>
      </w:r>
      <w:r w:rsidRPr="001663C4">
        <w:rPr>
          <w:rFonts w:asciiTheme="minorHAnsi" w:hAnsiTheme="minorHAnsi" w:cstheme="minorHAnsi"/>
          <w:b w:val="0"/>
          <w:bCs/>
          <w:i/>
          <w:iCs/>
          <w:color w:val="000000" w:themeColor="text1"/>
          <w:sz w:val="24"/>
          <w:szCs w:val="24"/>
          <w:lang w:val="en-GB"/>
        </w:rPr>
        <w:t>Academic Discourse</w:t>
      </w:r>
      <w:r w:rsidRPr="001663C4">
        <w:rPr>
          <w:rFonts w:asciiTheme="minorHAnsi" w:hAnsiTheme="minorHAnsi" w:cstheme="minorHAnsi"/>
          <w:b w:val="0"/>
          <w:bCs/>
          <w:color w:val="000000" w:themeColor="text1"/>
          <w:sz w:val="24"/>
          <w:szCs w:val="24"/>
          <w:lang w:val="en-GB"/>
        </w:rPr>
        <w:t>. Cambridge: Polity Press.</w:t>
      </w:r>
    </w:p>
    <w:p w14:paraId="09AF427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lastRenderedPageBreak/>
        <w:t xml:space="preserve">Chakradhar, K. (2018) ‘Forging and Sustaining Research-minded Professionals: Teaching Undergraduate Research through Student Community Partnerships’, </w:t>
      </w:r>
      <w:r w:rsidRPr="001663C4">
        <w:rPr>
          <w:rFonts w:asciiTheme="minorHAnsi" w:hAnsiTheme="minorHAnsi" w:cstheme="minorHAnsi"/>
          <w:b w:val="0"/>
          <w:bCs/>
          <w:i/>
          <w:iCs/>
          <w:color w:val="000000" w:themeColor="text1"/>
          <w:sz w:val="24"/>
          <w:szCs w:val="24"/>
          <w:lang w:val="en-GB"/>
        </w:rPr>
        <w:t xml:space="preserve">Social Work Education, </w:t>
      </w:r>
      <w:r w:rsidRPr="001663C4">
        <w:rPr>
          <w:rFonts w:asciiTheme="minorHAnsi" w:hAnsiTheme="minorHAnsi" w:cstheme="minorHAnsi"/>
          <w:b w:val="0"/>
          <w:bCs/>
          <w:color w:val="000000" w:themeColor="text1"/>
          <w:sz w:val="24"/>
          <w:szCs w:val="24"/>
          <w:lang w:val="en-GB"/>
        </w:rPr>
        <w:t>37(4): 428–441.</w:t>
      </w:r>
    </w:p>
    <w:p w14:paraId="2395B0A4" w14:textId="48E83B98"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Clark, T., Foster, L., Sloan, L. and Bryman, A. (2021) </w:t>
      </w:r>
      <w:r w:rsidRPr="001663C4">
        <w:rPr>
          <w:rFonts w:asciiTheme="minorHAnsi" w:hAnsiTheme="minorHAnsi" w:cstheme="minorHAnsi"/>
          <w:b w:val="0"/>
          <w:bCs/>
          <w:i/>
          <w:iCs/>
          <w:color w:val="000000" w:themeColor="text1"/>
          <w:sz w:val="24"/>
          <w:szCs w:val="24"/>
          <w:lang w:val="en-GB"/>
        </w:rPr>
        <w:t xml:space="preserve">Bryman’s Social Research Methods. </w:t>
      </w:r>
      <w:r w:rsidRPr="001663C4">
        <w:rPr>
          <w:rFonts w:asciiTheme="minorHAnsi" w:hAnsiTheme="minorHAnsi" w:cstheme="minorHAnsi"/>
          <w:b w:val="0"/>
          <w:bCs/>
          <w:color w:val="000000" w:themeColor="text1"/>
          <w:sz w:val="24"/>
          <w:szCs w:val="24"/>
          <w:lang w:val="en-GB"/>
        </w:rPr>
        <w:t>Oxford: OUP.</w:t>
      </w:r>
    </w:p>
    <w:p w14:paraId="7ABFDF1B" w14:textId="77777777" w:rsidR="00B83CD2" w:rsidRPr="001663C4" w:rsidRDefault="00B83CD2" w:rsidP="00B83CD2">
      <w:pPr>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Deacon, L. (2015) </w:t>
      </w:r>
      <w:r w:rsidRPr="001663C4">
        <w:rPr>
          <w:rFonts w:asciiTheme="minorHAnsi" w:hAnsiTheme="minorHAnsi" w:cstheme="minorHAnsi"/>
          <w:b w:val="0"/>
          <w:bCs/>
          <w:i/>
          <w:iCs/>
          <w:color w:val="000000" w:themeColor="text1"/>
          <w:sz w:val="24"/>
          <w:szCs w:val="24"/>
        </w:rPr>
        <w:t xml:space="preserve">Understanding Children’s Social Care Services Response to Children who display Harmful Sexual </w:t>
      </w:r>
      <w:proofErr w:type="spellStart"/>
      <w:r w:rsidRPr="001663C4">
        <w:rPr>
          <w:rFonts w:asciiTheme="minorHAnsi" w:hAnsiTheme="minorHAnsi" w:cstheme="minorHAnsi"/>
          <w:b w:val="0"/>
          <w:bCs/>
          <w:i/>
          <w:iCs/>
          <w:color w:val="000000" w:themeColor="text1"/>
          <w:sz w:val="24"/>
          <w:szCs w:val="24"/>
        </w:rPr>
        <w:t>Behaviour</w:t>
      </w:r>
      <w:proofErr w:type="spellEnd"/>
      <w:r w:rsidRPr="001663C4">
        <w:rPr>
          <w:rFonts w:asciiTheme="minorHAnsi" w:hAnsiTheme="minorHAnsi" w:cstheme="minorHAnsi"/>
          <w:b w:val="0"/>
          <w:bCs/>
          <w:i/>
          <w:iCs/>
          <w:color w:val="000000" w:themeColor="text1"/>
          <w:sz w:val="24"/>
          <w:szCs w:val="24"/>
        </w:rPr>
        <w:t xml:space="preserve">. </w:t>
      </w:r>
      <w:r w:rsidRPr="001663C4">
        <w:rPr>
          <w:rFonts w:asciiTheme="minorHAnsi" w:hAnsiTheme="minorHAnsi" w:cstheme="minorHAnsi"/>
          <w:b w:val="0"/>
          <w:bCs/>
          <w:color w:val="000000" w:themeColor="text1"/>
          <w:sz w:val="24"/>
          <w:szCs w:val="24"/>
        </w:rPr>
        <w:t>PhD, Durham University.</w:t>
      </w:r>
    </w:p>
    <w:p w14:paraId="2DDF04E6" w14:textId="77777777" w:rsidR="00B83CD2" w:rsidRPr="001663C4" w:rsidRDefault="00B83CD2" w:rsidP="00B83CD2">
      <w:pPr>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Deacon, </w:t>
      </w:r>
      <w:proofErr w:type="gramStart"/>
      <w:r w:rsidRPr="001663C4">
        <w:rPr>
          <w:rFonts w:asciiTheme="minorHAnsi" w:hAnsiTheme="minorHAnsi" w:cstheme="minorHAnsi"/>
          <w:b w:val="0"/>
          <w:bCs/>
          <w:color w:val="000000" w:themeColor="text1"/>
          <w:sz w:val="24"/>
          <w:szCs w:val="24"/>
        </w:rPr>
        <w:t>L.</w:t>
      </w:r>
      <w:proofErr w:type="gramEnd"/>
      <w:r w:rsidRPr="001663C4">
        <w:rPr>
          <w:rFonts w:asciiTheme="minorHAnsi" w:hAnsiTheme="minorHAnsi" w:cstheme="minorHAnsi"/>
          <w:b w:val="0"/>
          <w:bCs/>
          <w:color w:val="000000" w:themeColor="text1"/>
          <w:sz w:val="24"/>
          <w:szCs w:val="24"/>
        </w:rPr>
        <w:t xml:space="preserve"> and Macdonald, S.J. (2017) </w:t>
      </w:r>
      <w:r w:rsidRPr="001663C4">
        <w:rPr>
          <w:rFonts w:asciiTheme="minorHAnsi" w:hAnsiTheme="minorHAnsi" w:cstheme="minorHAnsi"/>
          <w:b w:val="0"/>
          <w:bCs/>
          <w:i/>
          <w:iCs/>
          <w:color w:val="000000" w:themeColor="text1"/>
          <w:sz w:val="24"/>
          <w:szCs w:val="24"/>
        </w:rPr>
        <w:t xml:space="preserve">Social Work Theory and Practice. </w:t>
      </w:r>
      <w:r w:rsidRPr="001663C4">
        <w:rPr>
          <w:rFonts w:asciiTheme="minorHAnsi" w:hAnsiTheme="minorHAnsi" w:cstheme="minorHAnsi"/>
          <w:b w:val="0"/>
          <w:bCs/>
          <w:color w:val="000000" w:themeColor="text1"/>
          <w:sz w:val="24"/>
          <w:szCs w:val="24"/>
        </w:rPr>
        <w:t>London: SAGE Publications.</w:t>
      </w:r>
    </w:p>
    <w:p w14:paraId="104323C4" w14:textId="7D883254" w:rsidR="00B83CD2" w:rsidRPr="001663C4" w:rsidRDefault="00B83CD2" w:rsidP="00B83CD2">
      <w:pPr>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Deacon, L. (2022) ‘Emancipatory Practice Development in Social Welfare Service Evaluation: A Worked Example’ </w:t>
      </w:r>
      <w:r w:rsidRPr="001663C4">
        <w:rPr>
          <w:rFonts w:asciiTheme="minorHAnsi" w:hAnsiTheme="minorHAnsi" w:cstheme="minorHAnsi"/>
          <w:b w:val="0"/>
          <w:bCs/>
          <w:i/>
          <w:iCs/>
          <w:color w:val="000000" w:themeColor="text1"/>
          <w:sz w:val="24"/>
          <w:szCs w:val="24"/>
        </w:rPr>
        <w:t xml:space="preserve">International Practice Development Journal, </w:t>
      </w:r>
      <w:r w:rsidRPr="001663C4">
        <w:rPr>
          <w:rFonts w:asciiTheme="minorHAnsi" w:hAnsiTheme="minorHAnsi" w:cstheme="minorHAnsi"/>
          <w:b w:val="0"/>
          <w:bCs/>
          <w:color w:val="000000" w:themeColor="text1"/>
          <w:sz w:val="24"/>
          <w:szCs w:val="24"/>
        </w:rPr>
        <w:t xml:space="preserve">12(1), pp.1–8. </w:t>
      </w:r>
    </w:p>
    <w:p w14:paraId="40A63C26"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Dodd, S.J. and Epstein, I. (2012) </w:t>
      </w:r>
      <w:r w:rsidRPr="001663C4">
        <w:rPr>
          <w:rFonts w:asciiTheme="minorHAnsi" w:hAnsiTheme="minorHAnsi" w:cstheme="minorHAnsi"/>
          <w:b w:val="0"/>
          <w:bCs/>
          <w:i/>
          <w:iCs/>
          <w:color w:val="000000" w:themeColor="text1"/>
          <w:sz w:val="24"/>
          <w:szCs w:val="24"/>
        </w:rPr>
        <w:t xml:space="preserve">Practice-Based Research in Social Work. </w:t>
      </w:r>
      <w:r w:rsidRPr="001663C4">
        <w:rPr>
          <w:rFonts w:asciiTheme="minorHAnsi" w:hAnsiTheme="minorHAnsi" w:cstheme="minorHAnsi"/>
          <w:b w:val="0"/>
          <w:bCs/>
          <w:color w:val="000000" w:themeColor="text1"/>
          <w:sz w:val="24"/>
          <w:szCs w:val="24"/>
        </w:rPr>
        <w:t>London: Routledge.</w:t>
      </w:r>
    </w:p>
    <w:p w14:paraId="445E5CF7"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t>Emirbayer</w:t>
      </w:r>
      <w:proofErr w:type="spellEnd"/>
      <w:r w:rsidRPr="001663C4">
        <w:rPr>
          <w:rFonts w:asciiTheme="minorHAnsi" w:hAnsiTheme="minorHAnsi" w:cstheme="minorHAnsi"/>
          <w:b w:val="0"/>
          <w:bCs/>
          <w:color w:val="000000" w:themeColor="text1"/>
          <w:sz w:val="24"/>
          <w:szCs w:val="24"/>
          <w:lang w:val="en-GB"/>
        </w:rPr>
        <w:t xml:space="preserve">, M. and Williams, E.M. (2005) ‘Bourdieu and Social Work’, </w:t>
      </w:r>
      <w:r w:rsidRPr="001663C4">
        <w:rPr>
          <w:rFonts w:asciiTheme="minorHAnsi" w:hAnsiTheme="minorHAnsi" w:cstheme="minorHAnsi"/>
          <w:b w:val="0"/>
          <w:bCs/>
          <w:i/>
          <w:iCs/>
          <w:color w:val="000000" w:themeColor="text1"/>
          <w:sz w:val="24"/>
          <w:szCs w:val="24"/>
          <w:lang w:val="en-GB"/>
        </w:rPr>
        <w:t xml:space="preserve">Social Service Review, </w:t>
      </w:r>
      <w:r w:rsidRPr="001663C4">
        <w:rPr>
          <w:rFonts w:asciiTheme="minorHAnsi" w:hAnsiTheme="minorHAnsi" w:cstheme="minorHAnsi"/>
          <w:b w:val="0"/>
          <w:bCs/>
          <w:color w:val="000000" w:themeColor="text1"/>
          <w:sz w:val="24"/>
          <w:szCs w:val="24"/>
          <w:lang w:val="en-GB"/>
        </w:rPr>
        <w:t>689–724.</w:t>
      </w:r>
    </w:p>
    <w:p w14:paraId="73213D6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Epstein, I. (1987) ‘Pedagogy of the Perturbed: Teaching Research to the </w:t>
      </w:r>
      <w:proofErr w:type="spellStart"/>
      <w:r w:rsidRPr="001663C4">
        <w:rPr>
          <w:rFonts w:asciiTheme="minorHAnsi" w:hAnsiTheme="minorHAnsi" w:cstheme="minorHAnsi"/>
          <w:b w:val="0"/>
          <w:bCs/>
          <w:color w:val="000000" w:themeColor="text1"/>
          <w:sz w:val="24"/>
          <w:szCs w:val="24"/>
          <w:lang w:val="en-GB"/>
        </w:rPr>
        <w:t>Reluctants</w:t>
      </w:r>
      <w:proofErr w:type="spellEnd"/>
      <w:r w:rsidRPr="001663C4">
        <w:rPr>
          <w:rFonts w:asciiTheme="minorHAnsi" w:hAnsiTheme="minorHAnsi" w:cstheme="minorHAnsi"/>
          <w:b w:val="0"/>
          <w:bCs/>
          <w:color w:val="000000" w:themeColor="text1"/>
          <w:sz w:val="24"/>
          <w:szCs w:val="24"/>
          <w:lang w:val="en-GB"/>
        </w:rPr>
        <w:t>’, Journal of Teaching in Social Work, 1(1): 71–89.</w:t>
      </w:r>
    </w:p>
    <w:p w14:paraId="5D3E8CA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Epstein, L. (2016) ‘Looking Backwards to Look Forward: A Foreword’, </w:t>
      </w:r>
      <w:r w:rsidRPr="001663C4">
        <w:rPr>
          <w:rFonts w:asciiTheme="minorHAnsi" w:hAnsiTheme="minorHAnsi" w:cstheme="minorHAnsi"/>
          <w:b w:val="0"/>
          <w:bCs/>
          <w:i/>
          <w:iCs/>
          <w:color w:val="000000" w:themeColor="text1"/>
          <w:sz w:val="24"/>
          <w:szCs w:val="24"/>
        </w:rPr>
        <w:t xml:space="preserve">Journal of Teaching in SW, </w:t>
      </w:r>
      <w:r w:rsidRPr="001663C4">
        <w:rPr>
          <w:rFonts w:asciiTheme="minorHAnsi" w:hAnsiTheme="minorHAnsi" w:cstheme="minorHAnsi"/>
          <w:b w:val="0"/>
          <w:bCs/>
          <w:color w:val="000000" w:themeColor="text1"/>
          <w:sz w:val="24"/>
          <w:szCs w:val="24"/>
        </w:rPr>
        <w:t>36(1): 3–5.</w:t>
      </w:r>
    </w:p>
    <w:p w14:paraId="43A7183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Fisher, M. (2020) 'From Research Question to Practice Research Methodology' in L. Joubert and M. Webber (eds) </w:t>
      </w:r>
      <w:r w:rsidRPr="001663C4">
        <w:rPr>
          <w:rFonts w:asciiTheme="minorHAnsi" w:hAnsiTheme="minorHAnsi" w:cstheme="minorHAnsi"/>
          <w:b w:val="0"/>
          <w:bCs/>
          <w:i/>
          <w:iCs/>
          <w:color w:val="000000" w:themeColor="text1"/>
          <w:sz w:val="24"/>
          <w:szCs w:val="24"/>
          <w:lang w:val="en-GB"/>
        </w:rPr>
        <w:t>The Routledge International Handbook of Social Work Practice</w:t>
      </w:r>
      <w:r w:rsidRPr="001663C4">
        <w:rPr>
          <w:rFonts w:asciiTheme="minorHAnsi" w:hAnsiTheme="minorHAnsi" w:cstheme="minorHAnsi"/>
          <w:b w:val="0"/>
          <w:bCs/>
          <w:color w:val="000000" w:themeColor="text1"/>
          <w:sz w:val="24"/>
          <w:szCs w:val="24"/>
          <w:lang w:val="en-GB"/>
        </w:rPr>
        <w:t>. London: Routledge.</w:t>
      </w:r>
    </w:p>
    <w:p w14:paraId="7C58FA9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Fisher, M., Austin, M.J., </w:t>
      </w:r>
      <w:proofErr w:type="spellStart"/>
      <w:r w:rsidRPr="001663C4">
        <w:rPr>
          <w:rFonts w:asciiTheme="minorHAnsi" w:hAnsiTheme="minorHAnsi" w:cstheme="minorHAnsi"/>
          <w:b w:val="0"/>
          <w:bCs/>
          <w:color w:val="000000" w:themeColor="text1"/>
          <w:sz w:val="24"/>
          <w:szCs w:val="24"/>
          <w:lang w:val="en-GB"/>
        </w:rPr>
        <w:t>Julkunen</w:t>
      </w:r>
      <w:proofErr w:type="spellEnd"/>
      <w:r w:rsidRPr="001663C4">
        <w:rPr>
          <w:rFonts w:asciiTheme="minorHAnsi" w:hAnsiTheme="minorHAnsi" w:cstheme="minorHAnsi"/>
          <w:b w:val="0"/>
          <w:bCs/>
          <w:color w:val="000000" w:themeColor="text1"/>
          <w:sz w:val="24"/>
          <w:szCs w:val="24"/>
          <w:lang w:val="en-GB"/>
        </w:rPr>
        <w:t xml:space="preserve">, I., Sim, T., </w:t>
      </w: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L. and </w:t>
      </w:r>
      <w:proofErr w:type="spellStart"/>
      <w:r w:rsidRPr="001663C4">
        <w:rPr>
          <w:rFonts w:asciiTheme="minorHAnsi" w:hAnsiTheme="minorHAnsi" w:cstheme="minorHAnsi"/>
          <w:b w:val="0"/>
          <w:bCs/>
          <w:color w:val="000000" w:themeColor="text1"/>
          <w:sz w:val="24"/>
          <w:szCs w:val="24"/>
          <w:lang w:val="en-GB"/>
        </w:rPr>
        <w:t>Isokuortti</w:t>
      </w:r>
      <w:proofErr w:type="spellEnd"/>
      <w:r w:rsidRPr="001663C4">
        <w:rPr>
          <w:rFonts w:asciiTheme="minorHAnsi" w:hAnsiTheme="minorHAnsi" w:cstheme="minorHAnsi"/>
          <w:b w:val="0"/>
          <w:bCs/>
          <w:color w:val="000000" w:themeColor="text1"/>
          <w:sz w:val="24"/>
          <w:szCs w:val="24"/>
          <w:lang w:val="en-GB"/>
        </w:rPr>
        <w:t xml:space="preserve">, N. (2016) ‘Practice Research’ in E. Mullen (ed.) </w:t>
      </w:r>
      <w:r w:rsidRPr="001663C4">
        <w:rPr>
          <w:rFonts w:asciiTheme="minorHAnsi" w:hAnsiTheme="minorHAnsi" w:cstheme="minorHAnsi"/>
          <w:b w:val="0"/>
          <w:bCs/>
          <w:i/>
          <w:iCs/>
          <w:color w:val="000000" w:themeColor="text1"/>
          <w:sz w:val="24"/>
          <w:szCs w:val="24"/>
          <w:lang w:val="en-GB"/>
        </w:rPr>
        <w:t>Oxford Bibliographies in Social Work</w:t>
      </w:r>
      <w:r w:rsidRPr="001663C4">
        <w:rPr>
          <w:rFonts w:asciiTheme="minorHAnsi" w:hAnsiTheme="minorHAnsi" w:cstheme="minorHAnsi"/>
          <w:b w:val="0"/>
          <w:bCs/>
          <w:color w:val="000000" w:themeColor="text1"/>
          <w:sz w:val="24"/>
          <w:szCs w:val="24"/>
          <w:lang w:val="en-GB"/>
        </w:rPr>
        <w:t>. Oxford: OUP.</w:t>
      </w:r>
    </w:p>
    <w:p w14:paraId="7C92D31D" w14:textId="77777777" w:rsidR="00AF597F" w:rsidRPr="001663C4" w:rsidRDefault="00AF597F" w:rsidP="00AF597F">
      <w:pPr>
        <w:spacing w:line="360" w:lineRule="auto"/>
        <w:jc w:val="both"/>
        <w:rPr>
          <w:rFonts w:asciiTheme="minorHAnsi" w:hAnsiTheme="minorHAnsi" w:cstheme="minorHAnsi"/>
          <w:b w:val="0"/>
          <w:bCs/>
          <w:i/>
          <w:i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Flynn, C. and McDermott, F. (2016) </w:t>
      </w:r>
      <w:r w:rsidRPr="001663C4">
        <w:rPr>
          <w:rFonts w:asciiTheme="minorHAnsi" w:hAnsiTheme="minorHAnsi" w:cstheme="minorHAnsi"/>
          <w:b w:val="0"/>
          <w:bCs/>
          <w:i/>
          <w:iCs/>
          <w:color w:val="000000" w:themeColor="text1"/>
          <w:sz w:val="24"/>
          <w:szCs w:val="24"/>
          <w:lang w:val="en-GB"/>
        </w:rPr>
        <w:t>Doing Research in Social Work and Social Care: The Journey from Student to Practitioner Research</w:t>
      </w:r>
      <w:r w:rsidRPr="001663C4">
        <w:rPr>
          <w:rFonts w:asciiTheme="minorHAnsi" w:hAnsiTheme="minorHAnsi" w:cstheme="minorHAnsi"/>
          <w:b w:val="0"/>
          <w:bCs/>
          <w:color w:val="000000" w:themeColor="text1"/>
          <w:sz w:val="24"/>
          <w:szCs w:val="24"/>
          <w:lang w:val="en-GB"/>
        </w:rPr>
        <w:t>. London: SAGE Publications.</w:t>
      </w:r>
    </w:p>
    <w:p w14:paraId="27B9F267"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Forde, C. and Lynch, D. (2015) </w:t>
      </w:r>
      <w:r w:rsidRPr="001663C4">
        <w:rPr>
          <w:rFonts w:asciiTheme="minorHAnsi" w:hAnsiTheme="minorHAnsi" w:cstheme="minorHAnsi"/>
          <w:b w:val="0"/>
          <w:bCs/>
          <w:i/>
          <w:iCs/>
          <w:color w:val="000000" w:themeColor="text1"/>
          <w:sz w:val="24"/>
          <w:szCs w:val="24"/>
          <w:lang w:val="en-GB"/>
        </w:rPr>
        <w:t>Social Work and Community Development</w:t>
      </w:r>
      <w:r w:rsidRPr="001663C4">
        <w:rPr>
          <w:rFonts w:asciiTheme="minorHAnsi" w:hAnsiTheme="minorHAnsi" w:cstheme="minorHAnsi"/>
          <w:b w:val="0"/>
          <w:bCs/>
          <w:color w:val="000000" w:themeColor="text1"/>
          <w:sz w:val="24"/>
          <w:szCs w:val="24"/>
          <w:lang w:val="en-GB"/>
        </w:rPr>
        <w:t>. London: Palgrave.</w:t>
      </w:r>
    </w:p>
    <w:p w14:paraId="23951E6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lastRenderedPageBreak/>
        <w:t>Fouché</w:t>
      </w:r>
      <w:proofErr w:type="spellEnd"/>
      <w:r w:rsidRPr="001663C4">
        <w:rPr>
          <w:rFonts w:asciiTheme="minorHAnsi" w:hAnsiTheme="minorHAnsi" w:cstheme="minorHAnsi"/>
          <w:b w:val="0"/>
          <w:bCs/>
          <w:color w:val="000000" w:themeColor="text1"/>
          <w:sz w:val="24"/>
          <w:szCs w:val="24"/>
          <w:lang w:val="en-GB"/>
        </w:rPr>
        <w:t xml:space="preserve">, C. (2015) </w:t>
      </w:r>
      <w:r w:rsidRPr="001663C4">
        <w:rPr>
          <w:rFonts w:asciiTheme="minorHAnsi" w:hAnsiTheme="minorHAnsi" w:cstheme="minorHAnsi"/>
          <w:b w:val="0"/>
          <w:bCs/>
          <w:i/>
          <w:iCs/>
          <w:color w:val="000000" w:themeColor="text1"/>
          <w:sz w:val="24"/>
          <w:szCs w:val="24"/>
          <w:lang w:val="en-GB"/>
        </w:rPr>
        <w:t>Practice Research Partnerships in Social Work: Making a Difference</w:t>
      </w:r>
      <w:r w:rsidRPr="001663C4">
        <w:rPr>
          <w:rFonts w:asciiTheme="minorHAnsi" w:hAnsiTheme="minorHAnsi" w:cstheme="minorHAnsi"/>
          <w:b w:val="0"/>
          <w:bCs/>
          <w:color w:val="000000" w:themeColor="text1"/>
          <w:sz w:val="24"/>
          <w:szCs w:val="24"/>
          <w:lang w:val="en-GB"/>
        </w:rPr>
        <w:t>. Bristol: Policy Press.</w:t>
      </w:r>
    </w:p>
    <w:p w14:paraId="2ABD209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Garnham, N. and Williams, R. (1980) ‘Pierre Bourdieu and the Sociology of Culture’, </w:t>
      </w:r>
      <w:r w:rsidRPr="001663C4">
        <w:rPr>
          <w:rFonts w:asciiTheme="minorHAnsi" w:hAnsiTheme="minorHAnsi" w:cstheme="minorHAnsi"/>
          <w:b w:val="0"/>
          <w:bCs/>
          <w:i/>
          <w:iCs/>
          <w:color w:val="000000" w:themeColor="text1"/>
          <w:sz w:val="24"/>
          <w:szCs w:val="24"/>
          <w:lang w:val="en-GB"/>
        </w:rPr>
        <w:t xml:space="preserve">Media, Culture and Society, </w:t>
      </w:r>
      <w:r w:rsidRPr="001663C4">
        <w:rPr>
          <w:rFonts w:asciiTheme="minorHAnsi" w:hAnsiTheme="minorHAnsi" w:cstheme="minorHAnsi"/>
          <w:b w:val="0"/>
          <w:bCs/>
          <w:color w:val="000000" w:themeColor="text1"/>
          <w:sz w:val="24"/>
          <w:szCs w:val="24"/>
          <w:lang w:val="en-GB"/>
        </w:rPr>
        <w:t>2: 209–223.</w:t>
      </w:r>
    </w:p>
    <w:p w14:paraId="34988817"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t>Heyns</w:t>
      </w:r>
      <w:proofErr w:type="spellEnd"/>
      <w:r w:rsidRPr="001663C4">
        <w:rPr>
          <w:rFonts w:asciiTheme="minorHAnsi" w:hAnsiTheme="minorHAnsi" w:cstheme="minorHAnsi"/>
          <w:b w:val="0"/>
          <w:bCs/>
          <w:color w:val="000000" w:themeColor="text1"/>
          <w:sz w:val="24"/>
          <w:szCs w:val="24"/>
          <w:lang w:val="en-GB"/>
        </w:rPr>
        <w:t xml:space="preserve">, T., </w:t>
      </w:r>
      <w:proofErr w:type="spellStart"/>
      <w:r w:rsidRPr="001663C4">
        <w:rPr>
          <w:rFonts w:asciiTheme="minorHAnsi" w:hAnsiTheme="minorHAnsi" w:cstheme="minorHAnsi"/>
          <w:b w:val="0"/>
          <w:bCs/>
          <w:color w:val="000000" w:themeColor="text1"/>
          <w:sz w:val="24"/>
          <w:szCs w:val="24"/>
          <w:lang w:val="en-GB"/>
        </w:rPr>
        <w:t>Botma</w:t>
      </w:r>
      <w:proofErr w:type="spellEnd"/>
      <w:r w:rsidRPr="001663C4">
        <w:rPr>
          <w:rFonts w:asciiTheme="minorHAnsi" w:hAnsiTheme="minorHAnsi" w:cstheme="minorHAnsi"/>
          <w:b w:val="0"/>
          <w:bCs/>
          <w:color w:val="000000" w:themeColor="text1"/>
          <w:sz w:val="24"/>
          <w:szCs w:val="24"/>
          <w:lang w:val="en-GB"/>
        </w:rPr>
        <w:t xml:space="preserve">, Y. and van Rensburg, G. (2017) ‘A Creative Analysis of the Role of Practice Development Facilitators in a Critical Care Environment’, </w:t>
      </w:r>
      <w:r w:rsidRPr="001663C4">
        <w:rPr>
          <w:rFonts w:asciiTheme="minorHAnsi" w:hAnsiTheme="minorHAnsi" w:cstheme="minorHAnsi"/>
          <w:b w:val="0"/>
          <w:bCs/>
          <w:i/>
          <w:iCs/>
          <w:color w:val="000000" w:themeColor="text1"/>
          <w:sz w:val="24"/>
          <w:szCs w:val="24"/>
          <w:lang w:val="en-GB"/>
        </w:rPr>
        <w:t xml:space="preserve">Health SA </w:t>
      </w:r>
      <w:proofErr w:type="spellStart"/>
      <w:r w:rsidRPr="001663C4">
        <w:rPr>
          <w:rFonts w:asciiTheme="minorHAnsi" w:hAnsiTheme="minorHAnsi" w:cstheme="minorHAnsi"/>
          <w:b w:val="0"/>
          <w:bCs/>
          <w:i/>
          <w:iCs/>
          <w:color w:val="000000" w:themeColor="text1"/>
          <w:sz w:val="24"/>
          <w:szCs w:val="24"/>
          <w:lang w:val="en-GB"/>
        </w:rPr>
        <w:t>Gesondheid</w:t>
      </w:r>
      <w:proofErr w:type="spellEnd"/>
      <w:r w:rsidRPr="001663C4">
        <w:rPr>
          <w:rFonts w:asciiTheme="minorHAnsi" w:hAnsiTheme="minorHAnsi" w:cstheme="minorHAnsi"/>
          <w:b w:val="0"/>
          <w:bCs/>
          <w:color w:val="000000" w:themeColor="text1"/>
          <w:sz w:val="24"/>
          <w:szCs w:val="24"/>
          <w:lang w:val="en-GB"/>
        </w:rPr>
        <w:t>, 22: 105–111.</w:t>
      </w:r>
    </w:p>
    <w:p w14:paraId="5AA9B385"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Hothersall, S. (2016) ‘Epistemology and Social Work: Integrating theory, research and practice through philosophical pragmatism’, </w:t>
      </w:r>
      <w:r w:rsidRPr="001663C4">
        <w:rPr>
          <w:rFonts w:asciiTheme="minorHAnsi" w:hAnsiTheme="minorHAnsi" w:cstheme="minorHAnsi"/>
          <w:b w:val="0"/>
          <w:bCs/>
          <w:i/>
          <w:iCs/>
          <w:color w:val="000000" w:themeColor="text1"/>
          <w:sz w:val="24"/>
          <w:szCs w:val="24"/>
          <w:lang w:val="en-GB"/>
        </w:rPr>
        <w:t xml:space="preserve">Social Work and Social Sciences Review, </w:t>
      </w:r>
      <w:r w:rsidRPr="001663C4">
        <w:rPr>
          <w:rFonts w:asciiTheme="minorHAnsi" w:hAnsiTheme="minorHAnsi" w:cstheme="minorHAnsi"/>
          <w:b w:val="0"/>
          <w:bCs/>
          <w:color w:val="000000" w:themeColor="text1"/>
          <w:sz w:val="24"/>
          <w:szCs w:val="24"/>
          <w:lang w:val="en-GB"/>
        </w:rPr>
        <w:t>18(3): 33–67.</w:t>
      </w:r>
    </w:p>
    <w:p w14:paraId="3B58D500"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Humphries, B. (2008) </w:t>
      </w:r>
      <w:r w:rsidRPr="001663C4">
        <w:rPr>
          <w:rFonts w:asciiTheme="minorHAnsi" w:hAnsiTheme="minorHAnsi" w:cstheme="minorHAnsi"/>
          <w:b w:val="0"/>
          <w:bCs/>
          <w:i/>
          <w:iCs/>
          <w:color w:val="000000" w:themeColor="text1"/>
          <w:sz w:val="24"/>
          <w:szCs w:val="24"/>
          <w:lang w:val="en-GB"/>
        </w:rPr>
        <w:t xml:space="preserve">Social Work Research for Social Justice. </w:t>
      </w:r>
      <w:r w:rsidRPr="001663C4">
        <w:rPr>
          <w:rFonts w:asciiTheme="minorHAnsi" w:hAnsiTheme="minorHAnsi" w:cstheme="minorHAnsi"/>
          <w:b w:val="0"/>
          <w:bCs/>
          <w:color w:val="000000" w:themeColor="text1"/>
          <w:sz w:val="24"/>
          <w:szCs w:val="24"/>
          <w:lang w:val="en-GB"/>
        </w:rPr>
        <w:t>Basingstoke: Palgrave MacMillan.</w:t>
      </w:r>
    </w:p>
    <w:p w14:paraId="59F0391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Inglis, D. and Hughson, J. (2003) </w:t>
      </w:r>
      <w:r w:rsidRPr="001663C4">
        <w:rPr>
          <w:rFonts w:asciiTheme="minorHAnsi" w:hAnsiTheme="minorHAnsi" w:cstheme="minorHAnsi"/>
          <w:b w:val="0"/>
          <w:bCs/>
          <w:i/>
          <w:iCs/>
          <w:color w:val="000000" w:themeColor="text1"/>
          <w:sz w:val="24"/>
          <w:szCs w:val="24"/>
          <w:lang w:val="en-GB"/>
        </w:rPr>
        <w:t xml:space="preserve">Confronting Culture: Sociological Vistas. </w:t>
      </w:r>
      <w:r w:rsidRPr="001663C4">
        <w:rPr>
          <w:rFonts w:asciiTheme="minorHAnsi" w:hAnsiTheme="minorHAnsi" w:cstheme="minorHAnsi"/>
          <w:b w:val="0"/>
          <w:bCs/>
          <w:color w:val="000000" w:themeColor="text1"/>
          <w:sz w:val="24"/>
          <w:szCs w:val="24"/>
          <w:lang w:val="en-GB"/>
        </w:rPr>
        <w:t>Oxford: Polity Press.</w:t>
      </w:r>
    </w:p>
    <w:p w14:paraId="6FCBFEC0"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Joubert, L. and Webber, M. (2020a) </w:t>
      </w:r>
      <w:r w:rsidRPr="001663C4">
        <w:rPr>
          <w:rFonts w:asciiTheme="minorHAnsi" w:hAnsiTheme="minorHAnsi" w:cstheme="minorHAnsi"/>
          <w:b w:val="0"/>
          <w:bCs/>
          <w:i/>
          <w:iCs/>
          <w:color w:val="000000" w:themeColor="text1"/>
          <w:sz w:val="24"/>
          <w:szCs w:val="24"/>
        </w:rPr>
        <w:t xml:space="preserve">The Routledge International Handbook of Social Work Practice. </w:t>
      </w:r>
      <w:r w:rsidRPr="001663C4">
        <w:rPr>
          <w:rFonts w:asciiTheme="minorHAnsi" w:hAnsiTheme="minorHAnsi" w:cstheme="minorHAnsi"/>
          <w:b w:val="0"/>
          <w:bCs/>
          <w:color w:val="000000" w:themeColor="text1"/>
          <w:sz w:val="24"/>
          <w:szCs w:val="24"/>
        </w:rPr>
        <w:t>London: Routledge.</w:t>
      </w:r>
    </w:p>
    <w:p w14:paraId="7FF8F732"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Joubert, L. and Webber, M. (2020b) ‘Introduction’ in L. Joubert and M. Webber (eds) </w:t>
      </w:r>
      <w:r w:rsidRPr="001663C4">
        <w:rPr>
          <w:rFonts w:asciiTheme="minorHAnsi" w:hAnsiTheme="minorHAnsi" w:cstheme="minorHAnsi"/>
          <w:b w:val="0"/>
          <w:bCs/>
          <w:i/>
          <w:iCs/>
          <w:color w:val="000000" w:themeColor="text1"/>
          <w:sz w:val="24"/>
          <w:szCs w:val="24"/>
        </w:rPr>
        <w:t xml:space="preserve">The Routledge International Handbook of Social Work Practice. </w:t>
      </w:r>
      <w:r w:rsidRPr="001663C4">
        <w:rPr>
          <w:rFonts w:asciiTheme="minorHAnsi" w:hAnsiTheme="minorHAnsi" w:cstheme="minorHAnsi"/>
          <w:b w:val="0"/>
          <w:bCs/>
          <w:color w:val="000000" w:themeColor="text1"/>
          <w:sz w:val="24"/>
          <w:szCs w:val="24"/>
        </w:rPr>
        <w:t>London: Routledge.</w:t>
      </w:r>
    </w:p>
    <w:p w14:paraId="0D30254A"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proofErr w:type="spellStart"/>
      <w:r w:rsidRPr="001663C4">
        <w:rPr>
          <w:rFonts w:asciiTheme="minorHAnsi" w:hAnsiTheme="minorHAnsi" w:cstheme="minorHAnsi"/>
          <w:b w:val="0"/>
          <w:bCs/>
          <w:color w:val="000000" w:themeColor="text1"/>
          <w:sz w:val="24"/>
          <w:szCs w:val="24"/>
        </w:rPr>
        <w:t>Krysik</w:t>
      </w:r>
      <w:proofErr w:type="spellEnd"/>
      <w:r w:rsidRPr="001663C4">
        <w:rPr>
          <w:rFonts w:asciiTheme="minorHAnsi" w:hAnsiTheme="minorHAnsi" w:cstheme="minorHAnsi"/>
          <w:b w:val="0"/>
          <w:bCs/>
          <w:color w:val="000000" w:themeColor="text1"/>
          <w:sz w:val="24"/>
          <w:szCs w:val="24"/>
        </w:rPr>
        <w:t xml:space="preserve">, J.L. and Finn, J. (2013) </w:t>
      </w:r>
      <w:r w:rsidRPr="001663C4">
        <w:rPr>
          <w:rFonts w:asciiTheme="minorHAnsi" w:hAnsiTheme="minorHAnsi" w:cstheme="minorHAnsi"/>
          <w:b w:val="0"/>
          <w:bCs/>
          <w:i/>
          <w:iCs/>
          <w:color w:val="000000" w:themeColor="text1"/>
          <w:sz w:val="24"/>
          <w:szCs w:val="24"/>
        </w:rPr>
        <w:t>Research for Effective Social Work Practice</w:t>
      </w:r>
      <w:r w:rsidRPr="001663C4">
        <w:rPr>
          <w:rFonts w:asciiTheme="minorHAnsi" w:hAnsiTheme="minorHAnsi" w:cstheme="minorHAnsi"/>
          <w:b w:val="0"/>
          <w:bCs/>
          <w:color w:val="000000" w:themeColor="text1"/>
          <w:sz w:val="24"/>
          <w:szCs w:val="24"/>
        </w:rPr>
        <w:t>, 3</w:t>
      </w:r>
      <w:r w:rsidRPr="001663C4">
        <w:rPr>
          <w:rFonts w:asciiTheme="minorHAnsi" w:hAnsiTheme="minorHAnsi" w:cstheme="minorHAnsi"/>
          <w:b w:val="0"/>
          <w:bCs/>
          <w:color w:val="000000" w:themeColor="text1"/>
          <w:sz w:val="24"/>
          <w:szCs w:val="24"/>
          <w:vertAlign w:val="superscript"/>
        </w:rPr>
        <w:t>rd</w:t>
      </w:r>
      <w:r w:rsidRPr="001663C4">
        <w:rPr>
          <w:rFonts w:asciiTheme="minorHAnsi" w:hAnsiTheme="minorHAnsi" w:cstheme="minorHAnsi"/>
          <w:b w:val="0"/>
          <w:bCs/>
          <w:color w:val="000000" w:themeColor="text1"/>
          <w:sz w:val="24"/>
          <w:szCs w:val="24"/>
        </w:rPr>
        <w:t xml:space="preserve"> </w:t>
      </w:r>
      <w:proofErr w:type="spellStart"/>
      <w:r w:rsidRPr="001663C4">
        <w:rPr>
          <w:rFonts w:asciiTheme="minorHAnsi" w:hAnsiTheme="minorHAnsi" w:cstheme="minorHAnsi"/>
          <w:b w:val="0"/>
          <w:bCs/>
          <w:color w:val="000000" w:themeColor="text1"/>
          <w:sz w:val="24"/>
          <w:szCs w:val="24"/>
        </w:rPr>
        <w:t>edn</w:t>
      </w:r>
      <w:proofErr w:type="spellEnd"/>
      <w:r w:rsidRPr="001663C4">
        <w:rPr>
          <w:rFonts w:asciiTheme="minorHAnsi" w:hAnsiTheme="minorHAnsi" w:cstheme="minorHAnsi"/>
          <w:b w:val="0"/>
          <w:bCs/>
          <w:color w:val="000000" w:themeColor="text1"/>
          <w:sz w:val="24"/>
          <w:szCs w:val="24"/>
        </w:rPr>
        <w:t>. New York: Routledge.</w:t>
      </w:r>
    </w:p>
    <w:p w14:paraId="0B133F8F"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proofErr w:type="spellStart"/>
      <w:r w:rsidRPr="001663C4">
        <w:rPr>
          <w:rFonts w:asciiTheme="minorHAnsi" w:hAnsiTheme="minorHAnsi" w:cstheme="minorHAnsi"/>
          <w:b w:val="0"/>
          <w:bCs/>
          <w:color w:val="000000" w:themeColor="text1"/>
          <w:sz w:val="24"/>
          <w:szCs w:val="24"/>
        </w:rPr>
        <w:t>Kwong</w:t>
      </w:r>
      <w:proofErr w:type="spellEnd"/>
      <w:r w:rsidRPr="001663C4">
        <w:rPr>
          <w:rFonts w:asciiTheme="minorHAnsi" w:hAnsiTheme="minorHAnsi" w:cstheme="minorHAnsi"/>
          <w:b w:val="0"/>
          <w:bCs/>
          <w:color w:val="000000" w:themeColor="text1"/>
          <w:sz w:val="24"/>
          <w:szCs w:val="24"/>
        </w:rPr>
        <w:t xml:space="preserve">, K. (2017) ‘Advancing Social Work Practice Research Education: An Innovative, Experiential Pedagogical Approach’, </w:t>
      </w:r>
      <w:r w:rsidRPr="001663C4">
        <w:rPr>
          <w:rFonts w:asciiTheme="minorHAnsi" w:hAnsiTheme="minorHAnsi" w:cstheme="minorHAnsi"/>
          <w:b w:val="0"/>
          <w:bCs/>
          <w:i/>
          <w:iCs/>
          <w:color w:val="000000" w:themeColor="text1"/>
          <w:sz w:val="24"/>
          <w:szCs w:val="24"/>
        </w:rPr>
        <w:t>International Journal of Higher Education</w:t>
      </w:r>
      <w:r w:rsidRPr="001663C4">
        <w:rPr>
          <w:rFonts w:asciiTheme="minorHAnsi" w:hAnsiTheme="minorHAnsi" w:cstheme="minorHAnsi"/>
          <w:b w:val="0"/>
          <w:bCs/>
          <w:color w:val="000000" w:themeColor="text1"/>
          <w:sz w:val="24"/>
          <w:szCs w:val="24"/>
        </w:rPr>
        <w:t>,</w:t>
      </w:r>
      <w:r w:rsidRPr="001663C4">
        <w:rPr>
          <w:rFonts w:asciiTheme="minorHAnsi" w:hAnsiTheme="minorHAnsi" w:cstheme="minorHAnsi"/>
          <w:b w:val="0"/>
          <w:bCs/>
          <w:i/>
          <w:iCs/>
          <w:color w:val="000000" w:themeColor="text1"/>
          <w:sz w:val="24"/>
          <w:szCs w:val="24"/>
        </w:rPr>
        <w:t xml:space="preserve"> </w:t>
      </w:r>
      <w:r w:rsidRPr="001663C4">
        <w:rPr>
          <w:rFonts w:asciiTheme="minorHAnsi" w:hAnsiTheme="minorHAnsi" w:cstheme="minorHAnsi"/>
          <w:b w:val="0"/>
          <w:bCs/>
          <w:color w:val="000000" w:themeColor="text1"/>
          <w:sz w:val="24"/>
          <w:szCs w:val="24"/>
        </w:rPr>
        <w:t>6(5): 1–13.</w:t>
      </w:r>
    </w:p>
    <w:p w14:paraId="7C7A02D9"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Lorenz, W. (2003) ‘European Experiences in Teaching Social Work Research’, </w:t>
      </w:r>
      <w:r w:rsidRPr="001663C4">
        <w:rPr>
          <w:rFonts w:asciiTheme="minorHAnsi" w:hAnsiTheme="minorHAnsi" w:cstheme="minorHAnsi"/>
          <w:b w:val="0"/>
          <w:bCs/>
          <w:i/>
          <w:iCs/>
          <w:color w:val="000000" w:themeColor="text1"/>
          <w:sz w:val="24"/>
          <w:szCs w:val="24"/>
        </w:rPr>
        <w:t xml:space="preserve">Social Work Education, </w:t>
      </w:r>
      <w:r w:rsidRPr="001663C4">
        <w:rPr>
          <w:rFonts w:asciiTheme="minorHAnsi" w:hAnsiTheme="minorHAnsi" w:cstheme="minorHAnsi"/>
          <w:b w:val="0"/>
          <w:bCs/>
          <w:color w:val="000000" w:themeColor="text1"/>
          <w:sz w:val="24"/>
          <w:szCs w:val="24"/>
        </w:rPr>
        <w:t>22(1): 7–18.</w:t>
      </w:r>
    </w:p>
    <w:p w14:paraId="6FCC3DFC"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McIntyre, A. (2007) </w:t>
      </w:r>
      <w:r w:rsidRPr="001663C4">
        <w:rPr>
          <w:rFonts w:asciiTheme="minorHAnsi" w:hAnsiTheme="minorHAnsi" w:cstheme="minorHAnsi"/>
          <w:b w:val="0"/>
          <w:bCs/>
          <w:i/>
          <w:iCs/>
          <w:color w:val="000000" w:themeColor="text1"/>
          <w:sz w:val="24"/>
          <w:szCs w:val="24"/>
        </w:rPr>
        <w:t xml:space="preserve">Participatory Action Research. </w:t>
      </w:r>
      <w:r w:rsidRPr="001663C4">
        <w:rPr>
          <w:rFonts w:asciiTheme="minorHAnsi" w:hAnsiTheme="minorHAnsi" w:cstheme="minorHAnsi"/>
          <w:b w:val="0"/>
          <w:bCs/>
          <w:color w:val="000000" w:themeColor="text1"/>
          <w:sz w:val="24"/>
          <w:szCs w:val="24"/>
        </w:rPr>
        <w:t>London: SAGE Publications.</w:t>
      </w:r>
    </w:p>
    <w:p w14:paraId="0972CFD5" w14:textId="77777777" w:rsidR="00AF597F" w:rsidRPr="001663C4" w:rsidRDefault="00AF597F" w:rsidP="00AF597F">
      <w:pPr>
        <w:spacing w:after="180"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Manley, K., McCormack, B. and Wilson, V. (2008) </w:t>
      </w:r>
      <w:r w:rsidRPr="001663C4">
        <w:rPr>
          <w:rFonts w:asciiTheme="minorHAnsi" w:hAnsiTheme="minorHAnsi" w:cstheme="minorHAnsi"/>
          <w:b w:val="0"/>
          <w:bCs/>
          <w:i/>
          <w:iCs/>
          <w:color w:val="000000" w:themeColor="text1"/>
          <w:sz w:val="24"/>
          <w:szCs w:val="24"/>
        </w:rPr>
        <w:t>International Practice Development in Nursing and Healthcare</w:t>
      </w:r>
      <w:r w:rsidRPr="001663C4">
        <w:rPr>
          <w:rFonts w:asciiTheme="minorHAnsi" w:hAnsiTheme="minorHAnsi" w:cstheme="minorHAnsi"/>
          <w:b w:val="0"/>
          <w:bCs/>
          <w:color w:val="000000" w:themeColor="text1"/>
          <w:sz w:val="24"/>
          <w:szCs w:val="24"/>
        </w:rPr>
        <w:t>. Oxford: Blackwell.</w:t>
      </w:r>
    </w:p>
    <w:p w14:paraId="149BC56B"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lastRenderedPageBreak/>
        <w:t xml:space="preserve">Perkins, N., Grossman, S.F. and Kim, J. (2020) ‘MSW Students’ Perceptions of Research Methods Course and its Influence on their Perspectives of Themselves as Eventual Social Workers’, </w:t>
      </w:r>
      <w:r w:rsidRPr="001663C4">
        <w:rPr>
          <w:rFonts w:asciiTheme="minorHAnsi" w:hAnsiTheme="minorHAnsi" w:cstheme="minorHAnsi"/>
          <w:b w:val="0"/>
          <w:bCs/>
          <w:i/>
          <w:iCs/>
          <w:color w:val="000000" w:themeColor="text1"/>
          <w:sz w:val="24"/>
          <w:szCs w:val="24"/>
          <w:lang w:val="en-GB"/>
        </w:rPr>
        <w:t>Journal of Social Work Teaching</w:t>
      </w:r>
      <w:r w:rsidRPr="001663C4">
        <w:rPr>
          <w:rFonts w:asciiTheme="minorHAnsi" w:hAnsiTheme="minorHAnsi" w:cstheme="minorHAnsi"/>
          <w:b w:val="0"/>
          <w:bCs/>
          <w:color w:val="000000" w:themeColor="text1"/>
          <w:sz w:val="24"/>
          <w:szCs w:val="24"/>
          <w:lang w:val="en-GB"/>
        </w:rPr>
        <w:t>, 40(2): 169–187.</w:t>
      </w:r>
    </w:p>
    <w:p w14:paraId="36F165B3"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Powell, J. and Orme, J. (2011) ‘Increasing the Competence of Social Work Researchers: What Works?’, </w:t>
      </w:r>
      <w:r w:rsidRPr="001663C4">
        <w:rPr>
          <w:rFonts w:asciiTheme="minorHAnsi" w:hAnsiTheme="minorHAnsi" w:cstheme="minorHAnsi"/>
          <w:b w:val="0"/>
          <w:bCs/>
          <w:i/>
          <w:iCs/>
          <w:color w:val="000000" w:themeColor="text1"/>
          <w:sz w:val="24"/>
          <w:szCs w:val="24"/>
          <w:lang w:val="en-GB"/>
        </w:rPr>
        <w:t xml:space="preserve">British Journal of Social Work, </w:t>
      </w:r>
      <w:r w:rsidRPr="001663C4">
        <w:rPr>
          <w:rFonts w:asciiTheme="minorHAnsi" w:hAnsiTheme="minorHAnsi" w:cstheme="minorHAnsi"/>
          <w:b w:val="0"/>
          <w:bCs/>
          <w:color w:val="000000" w:themeColor="text1"/>
          <w:sz w:val="24"/>
          <w:szCs w:val="24"/>
          <w:lang w:val="en-GB"/>
        </w:rPr>
        <w:t>41: 1566–1585.</w:t>
      </w:r>
    </w:p>
    <w:p w14:paraId="65D756F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 xml:space="preserve">Shaw, I. and Lunt, N. (2018) 'Forms of Practitioner Research', </w:t>
      </w:r>
      <w:r w:rsidRPr="001663C4">
        <w:rPr>
          <w:rFonts w:asciiTheme="minorHAnsi" w:hAnsiTheme="minorHAnsi" w:cstheme="minorHAnsi"/>
          <w:b w:val="0"/>
          <w:bCs/>
          <w:i/>
          <w:iCs/>
          <w:color w:val="000000" w:themeColor="text1"/>
          <w:sz w:val="24"/>
          <w:szCs w:val="24"/>
          <w:lang w:val="en-GB"/>
        </w:rPr>
        <w:t>British Journal of Social Work</w:t>
      </w:r>
      <w:r w:rsidRPr="001663C4">
        <w:rPr>
          <w:rFonts w:asciiTheme="minorHAnsi" w:hAnsiTheme="minorHAnsi" w:cstheme="minorHAnsi"/>
          <w:b w:val="0"/>
          <w:bCs/>
          <w:color w:val="000000" w:themeColor="text1"/>
          <w:sz w:val="24"/>
          <w:szCs w:val="24"/>
          <w:lang w:val="en-GB"/>
        </w:rPr>
        <w:t>, 48: 141–157.</w:t>
      </w:r>
    </w:p>
    <w:p w14:paraId="11306B39"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L. (2011a) 'Theorising Practice Research in Social Work’, </w:t>
      </w:r>
      <w:r w:rsidRPr="001663C4">
        <w:rPr>
          <w:rFonts w:asciiTheme="minorHAnsi" w:hAnsiTheme="minorHAnsi" w:cstheme="minorHAnsi"/>
          <w:b w:val="0"/>
          <w:bCs/>
          <w:i/>
          <w:iCs/>
          <w:color w:val="000000" w:themeColor="text1"/>
          <w:sz w:val="24"/>
          <w:szCs w:val="24"/>
          <w:lang w:val="en-GB"/>
        </w:rPr>
        <w:t>Social Work and Social Sciences Review</w:t>
      </w:r>
      <w:r w:rsidRPr="001663C4">
        <w:rPr>
          <w:rFonts w:asciiTheme="minorHAnsi" w:hAnsiTheme="minorHAnsi" w:cstheme="minorHAnsi"/>
          <w:b w:val="0"/>
          <w:bCs/>
          <w:color w:val="000000" w:themeColor="text1"/>
          <w:sz w:val="24"/>
          <w:szCs w:val="24"/>
          <w:lang w:val="en-GB"/>
        </w:rPr>
        <w:t>, 14(1): 49–73.</w:t>
      </w:r>
    </w:p>
    <w:p w14:paraId="098E183E"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L. (2011b) 'What is Practice Research in Social Work: Definitions, Barriers and Possibilities', </w:t>
      </w:r>
      <w:r w:rsidRPr="001663C4">
        <w:rPr>
          <w:rFonts w:asciiTheme="minorHAnsi" w:hAnsiTheme="minorHAnsi" w:cstheme="minorHAnsi"/>
          <w:b w:val="0"/>
          <w:bCs/>
          <w:i/>
          <w:iCs/>
          <w:color w:val="000000" w:themeColor="text1"/>
          <w:sz w:val="24"/>
          <w:szCs w:val="24"/>
          <w:lang w:val="en-GB"/>
        </w:rPr>
        <w:t>Social Work &amp; Society</w:t>
      </w:r>
      <w:r w:rsidRPr="001663C4">
        <w:rPr>
          <w:rFonts w:asciiTheme="minorHAnsi" w:hAnsiTheme="minorHAnsi" w:cstheme="minorHAnsi"/>
          <w:b w:val="0"/>
          <w:bCs/>
          <w:color w:val="000000" w:themeColor="text1"/>
          <w:sz w:val="24"/>
          <w:szCs w:val="24"/>
          <w:lang w:val="en-GB"/>
        </w:rPr>
        <w:t>, 9: 45–59.</w:t>
      </w:r>
    </w:p>
    <w:p w14:paraId="2B44AE4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roofErr w:type="spellStart"/>
      <w:r w:rsidRPr="001663C4">
        <w:rPr>
          <w:rFonts w:asciiTheme="minorHAnsi" w:hAnsiTheme="minorHAnsi" w:cstheme="minorHAnsi"/>
          <w:b w:val="0"/>
          <w:bCs/>
          <w:color w:val="000000" w:themeColor="text1"/>
          <w:sz w:val="24"/>
          <w:szCs w:val="24"/>
          <w:lang w:val="en-GB"/>
        </w:rPr>
        <w:t>Uggerhøj</w:t>
      </w:r>
      <w:proofErr w:type="spellEnd"/>
      <w:r w:rsidRPr="001663C4">
        <w:rPr>
          <w:rFonts w:asciiTheme="minorHAnsi" w:hAnsiTheme="minorHAnsi" w:cstheme="minorHAnsi"/>
          <w:b w:val="0"/>
          <w:bCs/>
          <w:color w:val="000000" w:themeColor="text1"/>
          <w:sz w:val="24"/>
          <w:szCs w:val="24"/>
          <w:lang w:val="en-GB"/>
        </w:rPr>
        <w:t xml:space="preserve">, L. and </w:t>
      </w:r>
      <w:proofErr w:type="spellStart"/>
      <w:r w:rsidRPr="001663C4">
        <w:rPr>
          <w:rFonts w:asciiTheme="minorHAnsi" w:hAnsiTheme="minorHAnsi" w:cstheme="minorHAnsi"/>
          <w:b w:val="0"/>
          <w:bCs/>
          <w:color w:val="000000" w:themeColor="text1"/>
          <w:sz w:val="24"/>
          <w:szCs w:val="24"/>
          <w:lang w:val="en-GB"/>
        </w:rPr>
        <w:t>Wisti</w:t>
      </w:r>
      <w:proofErr w:type="spellEnd"/>
      <w:r w:rsidRPr="001663C4">
        <w:rPr>
          <w:rFonts w:asciiTheme="minorHAnsi" w:hAnsiTheme="minorHAnsi" w:cstheme="minorHAnsi"/>
          <w:b w:val="0"/>
          <w:bCs/>
          <w:color w:val="000000" w:themeColor="text1"/>
          <w:sz w:val="24"/>
          <w:szCs w:val="24"/>
          <w:lang w:val="en-GB"/>
        </w:rPr>
        <w:t xml:space="preserve">, P. (2020) 'Social Work Practice Research Developments: Four Statements, Ten Years Later' in L. Joubert and M. Webber (eds) </w:t>
      </w:r>
      <w:r w:rsidRPr="001663C4">
        <w:rPr>
          <w:rFonts w:asciiTheme="minorHAnsi" w:hAnsiTheme="minorHAnsi" w:cstheme="minorHAnsi"/>
          <w:b w:val="0"/>
          <w:bCs/>
          <w:i/>
          <w:iCs/>
          <w:color w:val="000000" w:themeColor="text1"/>
          <w:sz w:val="24"/>
          <w:szCs w:val="24"/>
          <w:lang w:val="en-GB"/>
        </w:rPr>
        <w:t>The Routledge International Handbook of Social Work Practice</w:t>
      </w:r>
      <w:r w:rsidRPr="001663C4">
        <w:rPr>
          <w:rFonts w:asciiTheme="minorHAnsi" w:hAnsiTheme="minorHAnsi" w:cstheme="minorHAnsi"/>
          <w:b w:val="0"/>
          <w:bCs/>
          <w:color w:val="000000" w:themeColor="text1"/>
          <w:sz w:val="24"/>
          <w:szCs w:val="24"/>
          <w:lang w:val="en-GB"/>
        </w:rPr>
        <w:t>. London: Routledge.</w:t>
      </w:r>
    </w:p>
    <w:p w14:paraId="04DEDCFF"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proofErr w:type="spellStart"/>
      <w:r w:rsidRPr="001663C4">
        <w:rPr>
          <w:rFonts w:asciiTheme="minorHAnsi" w:hAnsiTheme="minorHAnsi" w:cstheme="minorHAnsi"/>
          <w:b w:val="0"/>
          <w:bCs/>
          <w:color w:val="000000" w:themeColor="text1"/>
          <w:sz w:val="24"/>
          <w:szCs w:val="24"/>
        </w:rPr>
        <w:t>Vibeke</w:t>
      </w:r>
      <w:proofErr w:type="spellEnd"/>
      <w:r w:rsidRPr="001663C4">
        <w:rPr>
          <w:rFonts w:asciiTheme="minorHAnsi" w:hAnsiTheme="minorHAnsi" w:cstheme="minorHAnsi"/>
          <w:b w:val="0"/>
          <w:bCs/>
          <w:color w:val="000000" w:themeColor="text1"/>
          <w:sz w:val="24"/>
          <w:szCs w:val="24"/>
        </w:rPr>
        <w:t xml:space="preserve">, S. and Turney, D. (2017) ‘The Role of Professional Judgement in Social Work Assessment: A Comparison Between Norway and England’, </w:t>
      </w:r>
      <w:r w:rsidRPr="001663C4">
        <w:rPr>
          <w:rFonts w:asciiTheme="minorHAnsi" w:hAnsiTheme="minorHAnsi" w:cstheme="minorHAnsi"/>
          <w:b w:val="0"/>
          <w:bCs/>
          <w:i/>
          <w:iCs/>
          <w:color w:val="000000" w:themeColor="text1"/>
          <w:sz w:val="24"/>
          <w:szCs w:val="24"/>
        </w:rPr>
        <w:t>European Journal of Social Work</w:t>
      </w:r>
      <w:r w:rsidRPr="001663C4">
        <w:rPr>
          <w:rFonts w:asciiTheme="minorHAnsi" w:hAnsiTheme="minorHAnsi" w:cstheme="minorHAnsi"/>
          <w:b w:val="0"/>
          <w:bCs/>
          <w:color w:val="000000" w:themeColor="text1"/>
          <w:sz w:val="24"/>
          <w:szCs w:val="24"/>
        </w:rPr>
        <w:t>, 20(1): 112–124.</w:t>
      </w:r>
    </w:p>
    <w:p w14:paraId="74D0D82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rPr>
      </w:pPr>
      <w:r w:rsidRPr="001663C4">
        <w:rPr>
          <w:rFonts w:asciiTheme="minorHAnsi" w:hAnsiTheme="minorHAnsi" w:cstheme="minorHAnsi"/>
          <w:b w:val="0"/>
          <w:bCs/>
          <w:color w:val="000000" w:themeColor="text1"/>
          <w:sz w:val="24"/>
          <w:szCs w:val="24"/>
        </w:rPr>
        <w:t xml:space="preserve">Webb, J., Schirato, T. and Danaher, G. (2002) </w:t>
      </w:r>
      <w:r w:rsidRPr="001663C4">
        <w:rPr>
          <w:rFonts w:asciiTheme="minorHAnsi" w:hAnsiTheme="minorHAnsi" w:cstheme="minorHAnsi"/>
          <w:b w:val="0"/>
          <w:bCs/>
          <w:i/>
          <w:iCs/>
          <w:color w:val="000000" w:themeColor="text1"/>
          <w:sz w:val="24"/>
          <w:szCs w:val="24"/>
        </w:rPr>
        <w:t xml:space="preserve">Understanding Bourdieu. </w:t>
      </w:r>
      <w:r w:rsidRPr="001663C4">
        <w:rPr>
          <w:rFonts w:asciiTheme="minorHAnsi" w:hAnsiTheme="minorHAnsi" w:cstheme="minorHAnsi"/>
          <w:b w:val="0"/>
          <w:bCs/>
          <w:color w:val="000000" w:themeColor="text1"/>
          <w:sz w:val="24"/>
          <w:szCs w:val="24"/>
        </w:rPr>
        <w:t>London: SAGE Publications.</w:t>
      </w:r>
    </w:p>
    <w:p w14:paraId="0B0084B8"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2DF03DC5" w14:textId="77777777" w:rsidR="00AF597F" w:rsidRPr="001663C4" w:rsidRDefault="00AF597F" w:rsidP="00AF597F">
      <w:pPr>
        <w:spacing w:line="360" w:lineRule="auto"/>
        <w:jc w:val="both"/>
        <w:rPr>
          <w:rFonts w:asciiTheme="minorHAnsi" w:hAnsiTheme="minorHAnsi" w:cstheme="minorHAnsi"/>
          <w:color w:val="000000" w:themeColor="text1"/>
          <w:sz w:val="24"/>
          <w:szCs w:val="24"/>
          <w:lang w:val="en-GB"/>
        </w:rPr>
      </w:pPr>
      <w:r w:rsidRPr="001663C4">
        <w:rPr>
          <w:rFonts w:asciiTheme="minorHAnsi" w:hAnsiTheme="minorHAnsi" w:cstheme="minorHAnsi"/>
          <w:color w:val="000000" w:themeColor="text1"/>
          <w:sz w:val="24"/>
          <w:szCs w:val="24"/>
          <w:lang w:val="en-GB"/>
        </w:rPr>
        <w:t>Websites</w:t>
      </w:r>
    </w:p>
    <w:p w14:paraId="747E6782"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Research Excellence Framework</w:t>
      </w:r>
    </w:p>
    <w:p w14:paraId="3055E83A" w14:textId="77777777" w:rsidR="00AF597F" w:rsidRPr="001663C4" w:rsidRDefault="00B77729" w:rsidP="00AF597F">
      <w:pPr>
        <w:spacing w:line="360" w:lineRule="auto"/>
        <w:jc w:val="both"/>
        <w:rPr>
          <w:rFonts w:asciiTheme="minorHAnsi" w:hAnsiTheme="minorHAnsi" w:cstheme="minorHAnsi"/>
          <w:b w:val="0"/>
          <w:bCs/>
          <w:color w:val="000000" w:themeColor="text1"/>
          <w:sz w:val="24"/>
          <w:szCs w:val="24"/>
          <w:lang w:val="en-GB"/>
        </w:rPr>
      </w:pPr>
      <w:hyperlink r:id="rId8" w:history="1">
        <w:r w:rsidR="00AF597F" w:rsidRPr="001663C4">
          <w:rPr>
            <w:rStyle w:val="Hyperlink"/>
            <w:rFonts w:asciiTheme="minorHAnsi" w:hAnsiTheme="minorHAnsi" w:cstheme="minorHAnsi"/>
            <w:b w:val="0"/>
            <w:bCs/>
            <w:color w:val="000000" w:themeColor="text1"/>
            <w:sz w:val="24"/>
            <w:szCs w:val="24"/>
            <w:lang w:val="en-GB"/>
          </w:rPr>
          <w:t>https://www.ref.ac.uk/</w:t>
        </w:r>
      </w:hyperlink>
    </w:p>
    <w:p w14:paraId="6ABAD89A"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w:t>
      </w:r>
      <w:proofErr w:type="gramStart"/>
      <w:r w:rsidRPr="001663C4">
        <w:rPr>
          <w:rFonts w:asciiTheme="minorHAnsi" w:hAnsiTheme="minorHAnsi" w:cstheme="minorHAnsi"/>
          <w:b w:val="0"/>
          <w:bCs/>
          <w:color w:val="000000" w:themeColor="text1"/>
          <w:sz w:val="24"/>
          <w:szCs w:val="24"/>
          <w:lang w:val="en-GB"/>
        </w:rPr>
        <w:t>accessed</w:t>
      </w:r>
      <w:proofErr w:type="gramEnd"/>
      <w:r w:rsidRPr="001663C4">
        <w:rPr>
          <w:rFonts w:asciiTheme="minorHAnsi" w:hAnsiTheme="minorHAnsi" w:cstheme="minorHAnsi"/>
          <w:b w:val="0"/>
          <w:bCs/>
          <w:color w:val="000000" w:themeColor="text1"/>
          <w:sz w:val="24"/>
          <w:szCs w:val="24"/>
          <w:lang w:val="en-GB"/>
        </w:rPr>
        <w:t xml:space="preserve"> 24 June 2022)</w:t>
      </w:r>
    </w:p>
    <w:p w14:paraId="1D147C7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i/>
          <w:iCs/>
          <w:color w:val="000000" w:themeColor="text1"/>
          <w:sz w:val="24"/>
          <w:szCs w:val="24"/>
          <w:lang w:val="en-GB"/>
        </w:rPr>
        <w:t>Vitae</w:t>
      </w:r>
      <w:r w:rsidRPr="001663C4">
        <w:rPr>
          <w:rFonts w:asciiTheme="minorHAnsi" w:hAnsiTheme="minorHAnsi" w:cstheme="minorHAnsi"/>
          <w:b w:val="0"/>
          <w:bCs/>
          <w:color w:val="000000" w:themeColor="text1"/>
          <w:sz w:val="24"/>
          <w:szCs w:val="24"/>
          <w:lang w:val="en-GB"/>
        </w:rPr>
        <w:t xml:space="preserve"> (2022) </w:t>
      </w:r>
    </w:p>
    <w:p w14:paraId="35F89A82" w14:textId="77777777" w:rsidR="00AF597F" w:rsidRPr="001663C4" w:rsidRDefault="00B77729" w:rsidP="00AF597F">
      <w:pPr>
        <w:spacing w:line="360" w:lineRule="auto"/>
        <w:jc w:val="both"/>
        <w:rPr>
          <w:rStyle w:val="Hyperlink"/>
          <w:rFonts w:asciiTheme="minorHAnsi" w:hAnsiTheme="minorHAnsi" w:cstheme="minorHAnsi"/>
          <w:b w:val="0"/>
          <w:bCs/>
          <w:color w:val="000000" w:themeColor="text1"/>
          <w:sz w:val="24"/>
          <w:szCs w:val="24"/>
          <w:lang w:val="en-GB"/>
        </w:rPr>
      </w:pPr>
      <w:hyperlink r:id="rId9" w:history="1">
        <w:r w:rsidR="00AF597F" w:rsidRPr="001663C4">
          <w:rPr>
            <w:rStyle w:val="Hyperlink"/>
            <w:rFonts w:asciiTheme="minorHAnsi" w:hAnsiTheme="minorHAnsi" w:cstheme="minorHAnsi"/>
            <w:b w:val="0"/>
            <w:bCs/>
            <w:color w:val="000000" w:themeColor="text1"/>
            <w:sz w:val="24"/>
            <w:szCs w:val="24"/>
            <w:lang w:val="en-GB"/>
          </w:rPr>
          <w:t>https://www.vitae.ac.uk/researchers-professional-development/about-the-vitae-researcher-development-framework</w:t>
        </w:r>
      </w:hyperlink>
    </w:p>
    <w:p w14:paraId="1D4C3190"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lang w:val="en-GB"/>
        </w:rPr>
        <w:t>(</w:t>
      </w:r>
      <w:proofErr w:type="gramStart"/>
      <w:r w:rsidRPr="001663C4">
        <w:rPr>
          <w:rFonts w:asciiTheme="minorHAnsi" w:hAnsiTheme="minorHAnsi" w:cstheme="minorHAnsi"/>
          <w:b w:val="0"/>
          <w:bCs/>
          <w:color w:val="000000" w:themeColor="text1"/>
          <w:sz w:val="24"/>
          <w:szCs w:val="24"/>
          <w:lang w:val="en-GB"/>
        </w:rPr>
        <w:t>accessed</w:t>
      </w:r>
      <w:proofErr w:type="gramEnd"/>
      <w:r w:rsidRPr="001663C4">
        <w:rPr>
          <w:rFonts w:asciiTheme="minorHAnsi" w:hAnsiTheme="minorHAnsi" w:cstheme="minorHAnsi"/>
          <w:b w:val="0"/>
          <w:bCs/>
          <w:color w:val="000000" w:themeColor="text1"/>
          <w:sz w:val="24"/>
          <w:szCs w:val="24"/>
          <w:lang w:val="en-GB"/>
        </w:rPr>
        <w:t xml:space="preserve"> 24 June 2022)</w:t>
      </w:r>
    </w:p>
    <w:p w14:paraId="0F162DF8" w14:textId="77777777" w:rsidR="00AF597F" w:rsidRPr="001663C4" w:rsidRDefault="00AF597F" w:rsidP="00AF597F">
      <w:pPr>
        <w:autoSpaceDE w:val="0"/>
        <w:autoSpaceDN w:val="0"/>
        <w:adjustRightInd w:val="0"/>
        <w:spacing w:after="0" w:line="360" w:lineRule="auto"/>
        <w:rPr>
          <w:rFonts w:asciiTheme="minorHAnsi" w:hAnsiTheme="minorHAnsi" w:cstheme="minorHAnsi"/>
          <w:b w:val="0"/>
          <w:bCs/>
          <w:color w:val="000000" w:themeColor="text1"/>
          <w:sz w:val="24"/>
          <w:szCs w:val="24"/>
        </w:rPr>
      </w:pPr>
      <w:proofErr w:type="gramStart"/>
      <w:r w:rsidRPr="001663C4">
        <w:rPr>
          <w:rFonts w:asciiTheme="minorHAnsi" w:hAnsiTheme="minorHAnsi" w:cstheme="minorHAnsi"/>
          <w:b w:val="0"/>
          <w:bCs/>
          <w:color w:val="000000" w:themeColor="text1"/>
          <w:sz w:val="24"/>
          <w:szCs w:val="24"/>
        </w:rPr>
        <w:t>North East</w:t>
      </w:r>
      <w:proofErr w:type="gramEnd"/>
      <w:r w:rsidRPr="001663C4">
        <w:rPr>
          <w:rFonts w:asciiTheme="minorHAnsi" w:hAnsiTheme="minorHAnsi" w:cstheme="minorHAnsi"/>
          <w:b w:val="0"/>
          <w:bCs/>
          <w:color w:val="000000" w:themeColor="text1"/>
          <w:sz w:val="24"/>
          <w:szCs w:val="24"/>
        </w:rPr>
        <w:t xml:space="preserve"> Child Poverty Commission (2021) </w:t>
      </w:r>
      <w:r w:rsidRPr="001663C4">
        <w:rPr>
          <w:rFonts w:asciiTheme="minorHAnsi" w:hAnsiTheme="minorHAnsi" w:cstheme="minorHAnsi"/>
          <w:b w:val="0"/>
          <w:bCs/>
          <w:i/>
          <w:iCs/>
          <w:color w:val="000000" w:themeColor="text1"/>
          <w:sz w:val="24"/>
          <w:szCs w:val="24"/>
        </w:rPr>
        <w:t>Facts and Figures</w:t>
      </w:r>
      <w:r w:rsidRPr="001663C4">
        <w:rPr>
          <w:rFonts w:asciiTheme="minorHAnsi" w:hAnsiTheme="minorHAnsi" w:cstheme="minorHAnsi"/>
          <w:b w:val="0"/>
          <w:bCs/>
          <w:color w:val="000000" w:themeColor="text1"/>
          <w:sz w:val="24"/>
          <w:szCs w:val="24"/>
        </w:rPr>
        <w:t>. Newcastle upon Tyne: NECPC. Retrieved, from: nechildpoverty.org.uk/facts/</w:t>
      </w:r>
    </w:p>
    <w:p w14:paraId="60EE2F99" w14:textId="77777777" w:rsidR="00AF597F" w:rsidRPr="001663C4" w:rsidRDefault="00AF597F" w:rsidP="00AF597F">
      <w:pPr>
        <w:autoSpaceDE w:val="0"/>
        <w:autoSpaceDN w:val="0"/>
        <w:adjustRightInd w:val="0"/>
        <w:spacing w:after="0" w:line="360" w:lineRule="auto"/>
        <w:rPr>
          <w:rFonts w:asciiTheme="minorHAnsi" w:hAnsiTheme="minorHAnsi" w:cstheme="minorHAnsi"/>
          <w:b w:val="0"/>
          <w:bCs/>
          <w:color w:val="000000" w:themeColor="text1"/>
          <w:sz w:val="24"/>
          <w:szCs w:val="24"/>
          <w:lang w:val="en-GB"/>
        </w:rPr>
      </w:pPr>
      <w:r w:rsidRPr="001663C4">
        <w:rPr>
          <w:rFonts w:asciiTheme="minorHAnsi" w:hAnsiTheme="minorHAnsi" w:cstheme="minorHAnsi"/>
          <w:b w:val="0"/>
          <w:bCs/>
          <w:color w:val="000000" w:themeColor="text1"/>
          <w:sz w:val="24"/>
          <w:szCs w:val="24"/>
        </w:rPr>
        <w:t>(</w:t>
      </w:r>
      <w:proofErr w:type="gramStart"/>
      <w:r w:rsidRPr="001663C4">
        <w:rPr>
          <w:rFonts w:asciiTheme="minorHAnsi" w:hAnsiTheme="minorHAnsi" w:cstheme="minorHAnsi"/>
          <w:b w:val="0"/>
          <w:bCs/>
          <w:color w:val="000000" w:themeColor="text1"/>
          <w:sz w:val="24"/>
          <w:szCs w:val="24"/>
        </w:rPr>
        <w:t>accessed</w:t>
      </w:r>
      <w:proofErr w:type="gramEnd"/>
      <w:r w:rsidRPr="001663C4">
        <w:rPr>
          <w:rFonts w:asciiTheme="minorHAnsi" w:hAnsiTheme="minorHAnsi" w:cstheme="minorHAnsi"/>
          <w:b w:val="0"/>
          <w:bCs/>
          <w:color w:val="000000" w:themeColor="text1"/>
          <w:sz w:val="24"/>
          <w:szCs w:val="24"/>
        </w:rPr>
        <w:t xml:space="preserve"> 29th October 2021)</w:t>
      </w:r>
    </w:p>
    <w:p w14:paraId="2CA4FCBD" w14:textId="77777777" w:rsidR="00AF597F" w:rsidRPr="001663C4" w:rsidRDefault="00AF597F" w:rsidP="00AF597F">
      <w:pPr>
        <w:spacing w:line="360" w:lineRule="auto"/>
        <w:jc w:val="both"/>
        <w:rPr>
          <w:rFonts w:asciiTheme="minorHAnsi" w:hAnsiTheme="minorHAnsi" w:cstheme="minorHAnsi"/>
          <w:b w:val="0"/>
          <w:bCs/>
          <w:color w:val="000000" w:themeColor="text1"/>
          <w:sz w:val="24"/>
          <w:szCs w:val="24"/>
          <w:lang w:val="en-GB"/>
        </w:rPr>
      </w:pPr>
    </w:p>
    <w:p w14:paraId="6990F0E0" w14:textId="77777777" w:rsidR="003D496A" w:rsidRPr="001663C4" w:rsidRDefault="003D496A">
      <w:pPr>
        <w:rPr>
          <w:rFonts w:asciiTheme="minorHAnsi" w:hAnsiTheme="minorHAnsi" w:cstheme="minorHAnsi"/>
          <w:b w:val="0"/>
          <w:bCs/>
          <w:color w:val="000000" w:themeColor="text1"/>
          <w:sz w:val="24"/>
          <w:szCs w:val="24"/>
          <w:lang w:val="en-GB"/>
        </w:rPr>
      </w:pPr>
    </w:p>
    <w:sectPr w:rsidR="003D496A" w:rsidRPr="001663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3715" w14:textId="77777777" w:rsidR="0013312C" w:rsidRDefault="0013312C" w:rsidP="00AF597F">
      <w:pPr>
        <w:spacing w:after="0" w:line="240" w:lineRule="auto"/>
      </w:pPr>
      <w:r>
        <w:separator/>
      </w:r>
    </w:p>
  </w:endnote>
  <w:endnote w:type="continuationSeparator" w:id="0">
    <w:p w14:paraId="5A59F743" w14:textId="77777777" w:rsidR="0013312C" w:rsidRDefault="0013312C" w:rsidP="00AF597F">
      <w:pPr>
        <w:spacing w:after="0" w:line="240" w:lineRule="auto"/>
      </w:pPr>
      <w:r>
        <w:continuationSeparator/>
      </w:r>
    </w:p>
  </w:endnote>
  <w:endnote w:id="1">
    <w:p w14:paraId="5080B7AD" w14:textId="77777777" w:rsidR="00AF597F" w:rsidRPr="002F3396" w:rsidRDefault="00AF597F" w:rsidP="00AF597F">
      <w:pPr>
        <w:jc w:val="both"/>
        <w:rPr>
          <w:rFonts w:asciiTheme="minorHAnsi" w:hAnsiTheme="minorHAnsi" w:cstheme="minorHAnsi"/>
          <w:b w:val="0"/>
          <w:bCs/>
          <w:color w:val="auto"/>
          <w:sz w:val="24"/>
          <w:szCs w:val="24"/>
          <w:lang w:val="en-GB"/>
        </w:rPr>
      </w:pPr>
      <w:r w:rsidRPr="002F3396">
        <w:rPr>
          <w:rStyle w:val="EndnoteReference"/>
          <w:sz w:val="24"/>
          <w:szCs w:val="24"/>
        </w:rPr>
        <w:endnoteRef/>
      </w:r>
      <w:r w:rsidRPr="002F3396">
        <w:rPr>
          <w:sz w:val="24"/>
          <w:szCs w:val="24"/>
        </w:rPr>
        <w:t xml:space="preserve"> </w:t>
      </w:r>
      <w:r w:rsidRPr="002F3396">
        <w:rPr>
          <w:rFonts w:asciiTheme="minorHAnsi" w:hAnsiTheme="minorHAnsi" w:cstheme="minorHAnsi"/>
          <w:b w:val="0"/>
          <w:bCs/>
          <w:color w:val="auto"/>
          <w:sz w:val="24"/>
          <w:szCs w:val="24"/>
          <w:lang w:val="en-GB"/>
        </w:rPr>
        <w:t>*The term social work is used to refer not just to the profession of Social Work but the shared work and value base of community development (Forde and Lynch, 2015) and social care.</w:t>
      </w:r>
    </w:p>
    <w:p w14:paraId="75133997" w14:textId="77777777" w:rsidR="00AF597F" w:rsidRPr="002F3396" w:rsidRDefault="00AF597F" w:rsidP="00AF597F">
      <w:pPr>
        <w:pStyle w:val="EndnoteText"/>
        <w:rPr>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9FAA" w14:textId="77777777" w:rsidR="0013312C" w:rsidRDefault="0013312C" w:rsidP="00AF597F">
      <w:pPr>
        <w:spacing w:after="0" w:line="240" w:lineRule="auto"/>
      </w:pPr>
      <w:r>
        <w:separator/>
      </w:r>
    </w:p>
  </w:footnote>
  <w:footnote w:type="continuationSeparator" w:id="0">
    <w:p w14:paraId="7EA6CEC8" w14:textId="77777777" w:rsidR="0013312C" w:rsidRDefault="0013312C" w:rsidP="00AF5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FD2"/>
    <w:multiLevelType w:val="hybridMultilevel"/>
    <w:tmpl w:val="D7240852"/>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51DC3D12"/>
    <w:multiLevelType w:val="hybridMultilevel"/>
    <w:tmpl w:val="259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A7196"/>
    <w:multiLevelType w:val="hybridMultilevel"/>
    <w:tmpl w:val="A4FA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25E66"/>
    <w:multiLevelType w:val="hybridMultilevel"/>
    <w:tmpl w:val="94F0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E5DC7"/>
    <w:multiLevelType w:val="hybridMultilevel"/>
    <w:tmpl w:val="EBFEF636"/>
    <w:lvl w:ilvl="0" w:tplc="07D4C2EE">
      <w:start w:val="1"/>
      <w:numFmt w:val="bullet"/>
      <w:lvlText w:val="•"/>
      <w:lvlJc w:val="left"/>
      <w:pPr>
        <w:tabs>
          <w:tab w:val="num" w:pos="720"/>
        </w:tabs>
        <w:ind w:left="720" w:hanging="360"/>
      </w:pPr>
      <w:rPr>
        <w:rFonts w:ascii="Arial" w:hAnsi="Arial" w:hint="default"/>
      </w:rPr>
    </w:lvl>
    <w:lvl w:ilvl="1" w:tplc="E19A4E34" w:tentative="1">
      <w:start w:val="1"/>
      <w:numFmt w:val="bullet"/>
      <w:lvlText w:val="•"/>
      <w:lvlJc w:val="left"/>
      <w:pPr>
        <w:tabs>
          <w:tab w:val="num" w:pos="1440"/>
        </w:tabs>
        <w:ind w:left="1440" w:hanging="360"/>
      </w:pPr>
      <w:rPr>
        <w:rFonts w:ascii="Arial" w:hAnsi="Arial" w:hint="default"/>
      </w:rPr>
    </w:lvl>
    <w:lvl w:ilvl="2" w:tplc="6EA07058" w:tentative="1">
      <w:start w:val="1"/>
      <w:numFmt w:val="bullet"/>
      <w:lvlText w:val="•"/>
      <w:lvlJc w:val="left"/>
      <w:pPr>
        <w:tabs>
          <w:tab w:val="num" w:pos="2160"/>
        </w:tabs>
        <w:ind w:left="2160" w:hanging="360"/>
      </w:pPr>
      <w:rPr>
        <w:rFonts w:ascii="Arial" w:hAnsi="Arial" w:hint="default"/>
      </w:rPr>
    </w:lvl>
    <w:lvl w:ilvl="3" w:tplc="41024684" w:tentative="1">
      <w:start w:val="1"/>
      <w:numFmt w:val="bullet"/>
      <w:lvlText w:val="•"/>
      <w:lvlJc w:val="left"/>
      <w:pPr>
        <w:tabs>
          <w:tab w:val="num" w:pos="2880"/>
        </w:tabs>
        <w:ind w:left="2880" w:hanging="360"/>
      </w:pPr>
      <w:rPr>
        <w:rFonts w:ascii="Arial" w:hAnsi="Arial" w:hint="default"/>
      </w:rPr>
    </w:lvl>
    <w:lvl w:ilvl="4" w:tplc="C5FAB79A" w:tentative="1">
      <w:start w:val="1"/>
      <w:numFmt w:val="bullet"/>
      <w:lvlText w:val="•"/>
      <w:lvlJc w:val="left"/>
      <w:pPr>
        <w:tabs>
          <w:tab w:val="num" w:pos="3600"/>
        </w:tabs>
        <w:ind w:left="3600" w:hanging="360"/>
      </w:pPr>
      <w:rPr>
        <w:rFonts w:ascii="Arial" w:hAnsi="Arial" w:hint="default"/>
      </w:rPr>
    </w:lvl>
    <w:lvl w:ilvl="5" w:tplc="0B96D7C8" w:tentative="1">
      <w:start w:val="1"/>
      <w:numFmt w:val="bullet"/>
      <w:lvlText w:val="•"/>
      <w:lvlJc w:val="left"/>
      <w:pPr>
        <w:tabs>
          <w:tab w:val="num" w:pos="4320"/>
        </w:tabs>
        <w:ind w:left="4320" w:hanging="360"/>
      </w:pPr>
      <w:rPr>
        <w:rFonts w:ascii="Arial" w:hAnsi="Arial" w:hint="default"/>
      </w:rPr>
    </w:lvl>
    <w:lvl w:ilvl="6" w:tplc="CBF07590" w:tentative="1">
      <w:start w:val="1"/>
      <w:numFmt w:val="bullet"/>
      <w:lvlText w:val="•"/>
      <w:lvlJc w:val="left"/>
      <w:pPr>
        <w:tabs>
          <w:tab w:val="num" w:pos="5040"/>
        </w:tabs>
        <w:ind w:left="5040" w:hanging="360"/>
      </w:pPr>
      <w:rPr>
        <w:rFonts w:ascii="Arial" w:hAnsi="Arial" w:hint="default"/>
      </w:rPr>
    </w:lvl>
    <w:lvl w:ilvl="7" w:tplc="994A13A4" w:tentative="1">
      <w:start w:val="1"/>
      <w:numFmt w:val="bullet"/>
      <w:lvlText w:val="•"/>
      <w:lvlJc w:val="left"/>
      <w:pPr>
        <w:tabs>
          <w:tab w:val="num" w:pos="5760"/>
        </w:tabs>
        <w:ind w:left="5760" w:hanging="360"/>
      </w:pPr>
      <w:rPr>
        <w:rFonts w:ascii="Arial" w:hAnsi="Arial" w:hint="default"/>
      </w:rPr>
    </w:lvl>
    <w:lvl w:ilvl="8" w:tplc="E280D05C" w:tentative="1">
      <w:start w:val="1"/>
      <w:numFmt w:val="bullet"/>
      <w:lvlText w:val="•"/>
      <w:lvlJc w:val="left"/>
      <w:pPr>
        <w:tabs>
          <w:tab w:val="num" w:pos="6480"/>
        </w:tabs>
        <w:ind w:left="6480" w:hanging="360"/>
      </w:pPr>
      <w:rPr>
        <w:rFonts w:ascii="Arial" w:hAnsi="Arial" w:hint="default"/>
      </w:rPr>
    </w:lvl>
  </w:abstractNum>
  <w:num w:numId="1" w16cid:durableId="2106877452">
    <w:abstractNumId w:val="4"/>
  </w:num>
  <w:num w:numId="2" w16cid:durableId="717361967">
    <w:abstractNumId w:val="1"/>
  </w:num>
  <w:num w:numId="3" w16cid:durableId="600261711">
    <w:abstractNumId w:val="0"/>
  </w:num>
  <w:num w:numId="4" w16cid:durableId="1520004129">
    <w:abstractNumId w:val="3"/>
  </w:num>
  <w:num w:numId="5" w16cid:durableId="2123262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6A"/>
    <w:rsid w:val="000066E7"/>
    <w:rsid w:val="0013312C"/>
    <w:rsid w:val="001663C4"/>
    <w:rsid w:val="00243EC5"/>
    <w:rsid w:val="00311772"/>
    <w:rsid w:val="0036489E"/>
    <w:rsid w:val="003D496A"/>
    <w:rsid w:val="003E0CF0"/>
    <w:rsid w:val="003F6A5C"/>
    <w:rsid w:val="004D1C3F"/>
    <w:rsid w:val="00594DEF"/>
    <w:rsid w:val="00624A4C"/>
    <w:rsid w:val="00667369"/>
    <w:rsid w:val="006806D6"/>
    <w:rsid w:val="0069789F"/>
    <w:rsid w:val="006D76DA"/>
    <w:rsid w:val="00800583"/>
    <w:rsid w:val="008D0E9A"/>
    <w:rsid w:val="00AF597F"/>
    <w:rsid w:val="00AF7BFB"/>
    <w:rsid w:val="00B12B6A"/>
    <w:rsid w:val="00B77729"/>
    <w:rsid w:val="00B83CD2"/>
    <w:rsid w:val="00CC65AC"/>
    <w:rsid w:val="00DD24E5"/>
    <w:rsid w:val="00EE3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483E"/>
  <w15:chartTrackingRefBased/>
  <w15:docId w15:val="{0007699C-B68A-4792-8AF9-415A1AD7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b/>
        <w:color w:val="7030A0"/>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D0E9A"/>
    <w:pPr>
      <w:spacing w:after="0" w:line="240" w:lineRule="auto"/>
    </w:pPr>
    <w:rPr>
      <w:color w:val="8E25AB"/>
      <w:sz w:val="32"/>
      <w:szCs w:val="21"/>
    </w:rPr>
  </w:style>
  <w:style w:type="character" w:customStyle="1" w:styleId="PlainTextChar">
    <w:name w:val="Plain Text Char"/>
    <w:basedOn w:val="DefaultParagraphFont"/>
    <w:link w:val="PlainText"/>
    <w:uiPriority w:val="99"/>
    <w:semiHidden/>
    <w:rsid w:val="008D0E9A"/>
    <w:rPr>
      <w:color w:val="8E25AB"/>
      <w:sz w:val="32"/>
      <w:szCs w:val="21"/>
    </w:rPr>
  </w:style>
  <w:style w:type="character" w:styleId="Hyperlink">
    <w:name w:val="Hyperlink"/>
    <w:basedOn w:val="DefaultParagraphFont"/>
    <w:uiPriority w:val="99"/>
    <w:unhideWhenUsed/>
    <w:rsid w:val="00AF597F"/>
    <w:rPr>
      <w:color w:val="0563C1" w:themeColor="hyperlink"/>
      <w:u w:val="single"/>
    </w:rPr>
  </w:style>
  <w:style w:type="character" w:styleId="UnresolvedMention">
    <w:name w:val="Unresolved Mention"/>
    <w:basedOn w:val="DefaultParagraphFont"/>
    <w:uiPriority w:val="99"/>
    <w:semiHidden/>
    <w:unhideWhenUsed/>
    <w:rsid w:val="00AF597F"/>
    <w:rPr>
      <w:color w:val="605E5C"/>
      <w:shd w:val="clear" w:color="auto" w:fill="E1DFDD"/>
    </w:rPr>
  </w:style>
  <w:style w:type="paragraph" w:styleId="ListParagraph">
    <w:name w:val="List Paragraph"/>
    <w:basedOn w:val="Normal"/>
    <w:uiPriority w:val="34"/>
    <w:qFormat/>
    <w:rsid w:val="00AF597F"/>
    <w:pPr>
      <w:ind w:left="720"/>
      <w:contextualSpacing/>
    </w:pPr>
  </w:style>
  <w:style w:type="table" w:styleId="TableGrid">
    <w:name w:val="Table Grid"/>
    <w:basedOn w:val="TableNormal"/>
    <w:uiPriority w:val="39"/>
    <w:rsid w:val="00A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597F"/>
    <w:pPr>
      <w:spacing w:after="0" w:line="240" w:lineRule="auto"/>
    </w:pPr>
  </w:style>
  <w:style w:type="character" w:styleId="CommentReference">
    <w:name w:val="annotation reference"/>
    <w:basedOn w:val="DefaultParagraphFont"/>
    <w:uiPriority w:val="99"/>
    <w:semiHidden/>
    <w:unhideWhenUsed/>
    <w:rsid w:val="00AF597F"/>
    <w:rPr>
      <w:sz w:val="16"/>
      <w:szCs w:val="16"/>
    </w:rPr>
  </w:style>
  <w:style w:type="paragraph" w:styleId="CommentText">
    <w:name w:val="annotation text"/>
    <w:basedOn w:val="Normal"/>
    <w:link w:val="CommentTextChar"/>
    <w:uiPriority w:val="99"/>
    <w:unhideWhenUsed/>
    <w:rsid w:val="00AF597F"/>
    <w:pPr>
      <w:spacing w:line="240" w:lineRule="auto"/>
    </w:pPr>
    <w:rPr>
      <w:sz w:val="20"/>
      <w:szCs w:val="20"/>
    </w:rPr>
  </w:style>
  <w:style w:type="character" w:customStyle="1" w:styleId="CommentTextChar">
    <w:name w:val="Comment Text Char"/>
    <w:basedOn w:val="DefaultParagraphFont"/>
    <w:link w:val="CommentText"/>
    <w:uiPriority w:val="99"/>
    <w:rsid w:val="00AF597F"/>
    <w:rPr>
      <w:sz w:val="20"/>
      <w:szCs w:val="20"/>
    </w:rPr>
  </w:style>
  <w:style w:type="paragraph" w:styleId="CommentSubject">
    <w:name w:val="annotation subject"/>
    <w:basedOn w:val="CommentText"/>
    <w:next w:val="CommentText"/>
    <w:link w:val="CommentSubjectChar"/>
    <w:uiPriority w:val="99"/>
    <w:semiHidden/>
    <w:unhideWhenUsed/>
    <w:rsid w:val="00AF597F"/>
    <w:rPr>
      <w:bCs/>
    </w:rPr>
  </w:style>
  <w:style w:type="character" w:customStyle="1" w:styleId="CommentSubjectChar">
    <w:name w:val="Comment Subject Char"/>
    <w:basedOn w:val="CommentTextChar"/>
    <w:link w:val="CommentSubject"/>
    <w:uiPriority w:val="99"/>
    <w:semiHidden/>
    <w:rsid w:val="00AF597F"/>
    <w:rPr>
      <w:bCs/>
      <w:sz w:val="20"/>
      <w:szCs w:val="20"/>
    </w:rPr>
  </w:style>
  <w:style w:type="paragraph" w:styleId="EndnoteText">
    <w:name w:val="endnote text"/>
    <w:basedOn w:val="Normal"/>
    <w:link w:val="EndnoteTextChar"/>
    <w:uiPriority w:val="99"/>
    <w:semiHidden/>
    <w:unhideWhenUsed/>
    <w:rsid w:val="00AF59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597F"/>
    <w:rPr>
      <w:sz w:val="20"/>
      <w:szCs w:val="20"/>
    </w:rPr>
  </w:style>
  <w:style w:type="character" w:styleId="EndnoteReference">
    <w:name w:val="endnote reference"/>
    <w:basedOn w:val="DefaultParagraphFont"/>
    <w:uiPriority w:val="99"/>
    <w:semiHidden/>
    <w:unhideWhenUsed/>
    <w:rsid w:val="00AF5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 TargetMode="External"/><Relationship Id="rId3" Type="http://schemas.openxmlformats.org/officeDocument/2006/relationships/settings" Target="settings.xml"/><Relationship Id="rId7" Type="http://schemas.openxmlformats.org/officeDocument/2006/relationships/hyperlink" Target="https://www.re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tae.ac.uk/researchers-professional-development/about-the-vitae-researcher-develop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Deacon (Staff)</dc:creator>
  <cp:keywords/>
  <dc:description/>
  <cp:lastModifiedBy>Lesley Deacon (Staff)</cp:lastModifiedBy>
  <cp:revision>15</cp:revision>
  <dcterms:created xsi:type="dcterms:W3CDTF">2023-01-12T15:50:00Z</dcterms:created>
  <dcterms:modified xsi:type="dcterms:W3CDTF">2023-03-01T15:49:00Z</dcterms:modified>
</cp:coreProperties>
</file>